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60"/>
        <w:jc w:val="center"/>
      </w:pPr>
      <w:r>
        <w:rPr>
          <w:rFonts w:ascii="Arial" w:cs="Arial" w:eastAsia="Arial" w:hAnsi="Arial"/>
          <w:caps/>
          <w:color w:val="1A3A6B"/>
          <w:sz w:val="16"/>
          <w:szCs w:val="16"/>
        </w:rPr>
        <w:t xml:space="preserve">LEGAL ANALYSIS  ·  CONSTITUTIONAL LAW  ·  TECHNOLOGY REGULATION</w:t>
      </w:r>
    </w:p>
    <w:p>
      <w:pPr>
        <w:spacing w:after="120"/>
      </w:pPr>
    </w:p>
    <w:p>
      <w:pPr>
        <w:spacing w:after="80" w:before="0" w:line="360"/>
        <w:jc w:val="center"/>
      </w:pPr>
      <w:r>
        <w:rPr>
          <w:rFonts w:ascii="Georgia" w:cs="Georgia" w:eastAsia="Georgia" w:hAnsi="Georgia"/>
          <w:b/>
          <w:bCs/>
          <w:color w:val="0D0D0D"/>
          <w:sz w:val="44"/>
          <w:szCs w:val="44"/>
        </w:rPr>
        <w:t xml:space="preserve">Online Gaming Laws in India:</w:t>
      </w:r>
    </w:p>
    <w:p>
      <w:pPr>
        <w:spacing w:after="80" w:before="0" w:line="360"/>
        <w:jc w:val="center"/>
      </w:pPr>
      <w:r>
        <w:rPr>
          <w:rFonts w:ascii="Georgia" w:cs="Georgia" w:eastAsia="Georgia" w:hAnsi="Georgia"/>
          <w:b/>
          <w:bCs/>
          <w:color w:val="1A3A6B"/>
          <w:sz w:val="30"/>
          <w:szCs w:val="30"/>
        </w:rPr>
        <w:t xml:space="preserve">Regulatory Frameworks and Constitutional Issues</w:t>
      </w:r>
    </w:p>
    <w:p>
      <w:pPr>
        <w:spacing w:after="100"/>
      </w:pPr>
    </w:p>
    <w:p>
      <w:pPr>
        <w:pBdr>
          <w:bottom w:val="single" w:color="1A3A6B" w:sz="12" w:space="1"/>
        </w:pBdr>
        <w:spacing w:after="160" w:before="0"/>
      </w:pPr>
    </w:p>
    <w:p>
      <w:pPr>
        <w:shd w:fill="F2F5FA" w:val="clear"/>
        <w:spacing w:after="100" w:before="100" w:line="320"/>
        <w:ind w:left="360" w:right="360"/>
        <w:jc w:val="both"/>
      </w:pPr>
      <w:r>
        <w:rPr>
          <w:rFonts w:ascii="Arial" w:cs="Arial" w:eastAsia="Arial" w:hAnsi="Arial"/>
          <w:b/>
          <w:bCs/>
          <w:caps/>
          <w:color w:val="1A3A6B"/>
          <w:sz w:val="18"/>
          <w:szCs w:val="18"/>
        </w:rPr>
        <w:t xml:space="preserve">ABSTRACT  </w:t>
      </w:r>
      <w:r>
        <w:rPr>
          <w:rFonts w:ascii="Georgia" w:cs="Georgia" w:eastAsia="Georgia" w:hAnsi="Georgia"/>
          <w:i/>
          <w:iCs/>
          <w:color w:val="333333"/>
          <w:sz w:val="18"/>
          <w:szCs w:val="18"/>
        </w:rPr>
        <w:t xml:space="preserve">This article critically examines the legal and constitutional dimensions of online gaming regulation in India, tracing the evolution of judicial doctrine from foundational Supreme Court precedents to the enactment of the Promotion and Regulation of Online Gaming Act, 2025 (PROGA). It analyses the persistent tension between skill-based gaming and gambling, the constitutional validity of PROGA under Articles 19(1)(g) and the Seventh Schedule, and the doctrinal challenges posed by the Act's blanket prohibition on online real-money games. The article argues that while regulation is both necessary and overdue, the proportionality of PROGA's approach warrants rigorous constitutional scrutiny.</w:t>
      </w:r>
    </w:p>
    <w:p>
      <w:pPr>
        <w:pBdr>
          <w:bottom w:val="single" w:color="CCCCCC" w:sz="4" w:space="1"/>
        </w:pBdr>
        <w:spacing w:after="160" w:before="0"/>
      </w:pPr>
    </w:p>
    <w:p>
      <w:pPr>
        <w:spacing w:after="80"/>
      </w:pPr>
    </w:p>
    <w:p>
      <w:pPr>
        <w:spacing w:after="80" w:before="200"/>
      </w:pPr>
      <w:r>
        <w:rPr>
          <w:rFonts w:ascii="Arial" w:cs="Arial" w:eastAsia="Arial" w:hAnsi="Arial"/>
          <w:b/>
          <w:bCs/>
          <w:caps/>
          <w:color w:val="1A3A6B"/>
          <w:sz w:val="26"/>
          <w:szCs w:val="26"/>
        </w:rPr>
        <w:t xml:space="preserve">I.  INTRODUCTION</w:t>
      </w:r>
    </w:p>
    <w:p>
      <w:pPr>
        <w:pBdr>
          <w:bottom w:val="single" w:color="1A3A6B" w:sz="4" w:space="1"/>
        </w:pBdr>
        <w:spacing w:after="160" w:before="0"/>
      </w:pPr>
    </w:p>
    <w:p>
      <w:pPr>
        <w:spacing w:after="160" w:before="0" w:line="360"/>
        <w:jc w:val="both"/>
      </w:pPr>
      <w:r>
        <w:rPr>
          <w:sz w:val="23"/>
          <w:szCs w:val="23"/>
        </w:rPr>
        <w:t xml:space="preserve">In the contemporary intersection of law, governance, and a rapidly transforming society, it is imperative that legal frameworks keep pace with social realities. The two must evolve in tandem — law without social relevance is obsolete, and society without legal order is anarchic. Even ancient Indian jurisprudence anticipated the need to regulate games of chance. Kautilya, in his seminal treatise the Arthashastra, documented State-licensed gambling houses (dyuta-griha), the collection of taxes from such establishments, penalties for unlicensed operations, and the appointment of a Superintendent of Gambling (Dyutadhyaksha). The Mahabharata offers an equally instructive cautionary tale: the Pandavas forfeited their kingdom in a game of dice — a timeless emblem of the social destruction wrought by unregulated gambling.</w:t>
      </w:r>
    </w:p>
    <w:p>
      <w:pPr>
        <w:spacing w:after="160" w:before="0" w:line="360"/>
        <w:jc w:val="both"/>
      </w:pPr>
      <w:r>
        <w:rPr>
          <w:sz w:val="23"/>
          <w:szCs w:val="23"/>
        </w:rPr>
        <w:t xml:space="preserve">With the transformation of modern society, online gaming has emerged as a significant and influential domain. Its pervasive societal impact makes legislative and regulatory intervention an apparent necessity of the time. Yet a fundamental question persists: are the laws and policies enacted in this space truly proportionate to the mischief they seek to remedy?</w:t>
      </w:r>
    </w:p>
    <w:p>
      <w:pPr>
        <w:spacing w:after="160" w:before="0" w:line="360"/>
        <w:jc w:val="both"/>
      </w:pPr>
      <w:r>
        <w:rPr>
          <w:sz w:val="23"/>
          <w:szCs w:val="23"/>
        </w:rPr>
        <w:t xml:space="preserve">Online gaming exerts a profound influence on society, particularly among the youth. Young individuals are especially susceptible to the psychological allure of these platforms. Numerous cases have emerged involving minors squandering their families' savings on online gaming, lured by sophisticated reward mechanisms designed to encourage real-money expenditure. Beyond financial harm, rampant data breaches have led to personal information being shared with undisclosed third parties. The psychological and emotional toll on users — particularly adolescents — carries indirect consequences for broader public health. Moreover, since several platforms operate from offshore jurisdictions, they pose acute enforcement challenges; users who unwittingly fund such platforms may, in certain circumstances, contribute to the financing of illicit activities, including terrorism, thereby implicating national security.</w:t>
      </w:r>
    </w:p>
    <w:p>
      <w:pPr>
        <w:spacing w:after="200"/>
      </w:pPr>
    </w:p>
    <w:p>
      <w:pPr>
        <w:spacing w:after="80" w:before="200"/>
      </w:pPr>
      <w:r>
        <w:rPr>
          <w:rFonts w:ascii="Arial" w:cs="Arial" w:eastAsia="Arial" w:hAnsi="Arial"/>
          <w:b/>
          <w:bCs/>
          <w:caps/>
          <w:color w:val="1A3A6B"/>
          <w:sz w:val="26"/>
          <w:szCs w:val="26"/>
        </w:rPr>
        <w:t xml:space="preserve">II.  PROGA, 2025 — ARCHITECTURE OF THE CENTRAL FRAMEWORK</w:t>
      </w:r>
    </w:p>
    <w:p>
      <w:pPr>
        <w:pBdr>
          <w:bottom w:val="single" w:color="1A3A6B" w:sz="4" w:space="1"/>
        </w:pBdr>
        <w:spacing w:after="160" w:before="0"/>
      </w:pPr>
    </w:p>
    <w:p>
      <w:pPr>
        <w:spacing w:after="160" w:before="0" w:line="360"/>
        <w:jc w:val="both"/>
      </w:pPr>
      <w:r>
        <w:rPr>
          <w:sz w:val="23"/>
          <w:szCs w:val="23"/>
        </w:rPr>
        <w:t xml:space="preserve">In response to the aforementioned societal threats, the Promotion and Regulation of Online Gaming Act, 2025 (PROGA) was enacted and came into force on 1 May 2026. PROGA functions as the overarching central legislation governing online gaming in India — a single, unified regulatory instrument where none previously existed. Prior to its enactment, the subject of online gaming regulation fell under Entry 34, List II (State List) of the Seventh Schedule of the Constitution, resulting in a patchwork of inconsistent state-level regulations whereby one state might permit activities expressly prohibited by another.</w:t>
      </w:r>
    </w:p>
    <w:p>
      <w:pPr>
        <w:spacing w:after="160" w:before="0" w:line="360"/>
        <w:jc w:val="both"/>
      </w:pPr>
      <w:r>
        <w:rPr>
          <w:sz w:val="23"/>
          <w:szCs w:val="23"/>
        </w:rPr>
        <w:t xml:space="preserve">PROGA represents a fundamental legislative shift. The Central Government asserts its competence through Entries 31, 41, 42, and 52 of List I (Union List), which respectively cover communications, trade representation, inter-State trade and commerce, and industries regulated by Parliament in the public interest. The Act thus consolidates regulatory authority at the national level, establishing a single-window system for online gaming governance across India.</w:t>
      </w:r>
    </w:p>
    <w:p>
      <w:pPr>
        <w:spacing w:after="160" w:before="0" w:line="360"/>
        <w:jc w:val="both"/>
      </w:pPr>
      <w:r>
        <w:rPr>
          <w:sz w:val="23"/>
          <w:szCs w:val="23"/>
        </w:rPr>
        <w:t xml:space="preserve">A key institutional mechanism introduced by PROGA is the Online Gaming Authority of India (OGAN), established under Section 8 of the Act. The Authority is attached to the Ministry of Electronics and Information Technology (MeitY) and is headquartered in the National Capital Territory of Delhi. It is empowered to regulate the sector and enforce compliance with the Act's provisions. Platform operators have, however, mounted constitutional challenges, alleging that PROGA violates Article 19(1)(g) of the Constitution — the fundamental right to practise any profession or carry on any trade or business — by disproportionately restricting the operation of legitimately skill-based platforms.</w:t>
      </w:r>
    </w:p>
    <w:p>
      <w:pPr>
        <w:spacing w:after="160" w:before="0" w:line="360"/>
        <w:jc w:val="both"/>
      </w:pPr>
      <w:r>
        <w:rPr>
          <w:sz w:val="23"/>
          <w:szCs w:val="23"/>
        </w:rPr>
        <w:t xml:space="preserve">PROGA introduces a statutory binary classification of games: 'social games' and 'online money games.' Social games are permitted; online money games are prohibited. The Act simultaneously promotes e-sports, educational gaming, and social gaming. The Indian e-sports sector had attained a market valuation of approximately USD 200 million by 2025, and PROGA formally recognises this growth, providing a regulatory channel to facilitate and promote such activities at scale.</w:t>
      </w:r>
    </w:p>
    <w:p>
      <w:pPr>
        <w:spacing w:after="200"/>
      </w:pPr>
    </w:p>
    <w:p>
      <w:pPr>
        <w:spacing w:after="80" w:before="200"/>
      </w:pPr>
      <w:r>
        <w:rPr>
          <w:rFonts w:ascii="Arial" w:cs="Arial" w:eastAsia="Arial" w:hAnsi="Arial"/>
          <w:b/>
          <w:bCs/>
          <w:caps/>
          <w:color w:val="1A3A6B"/>
          <w:sz w:val="26"/>
          <w:szCs w:val="26"/>
        </w:rPr>
        <w:t xml:space="preserve">III.  SKILL VERSUS CHANCE — THE DOMINANT ELEMENT TEST</w:t>
      </w:r>
    </w:p>
    <w:p>
      <w:pPr>
        <w:pBdr>
          <w:bottom w:val="single" w:color="1A3A6B" w:sz="4" w:space="1"/>
        </w:pBdr>
        <w:spacing w:after="160" w:before="0"/>
      </w:pPr>
    </w:p>
    <w:p>
      <w:pPr>
        <w:spacing w:after="160" w:before="0" w:line="360"/>
        <w:jc w:val="both"/>
      </w:pPr>
      <w:r>
        <w:rPr>
          <w:sz w:val="23"/>
          <w:szCs w:val="23"/>
        </w:rPr>
        <w:t xml:space="preserve">The distinction between games of skill and games of chance remains one of the most contested doctrinal questions in Indian gaming jurisprudence. Indian courts have, over the decades, adopted the 'dominant element test' — a standard borrowed from American jurisprudence — which requires a court to determine whether skill or chance constitutes the predominant factor in determining the outcome of a game.</w:t>
      </w:r>
    </w:p>
    <w:p>
      <w:pPr>
        <w:pBdr>
          <w:left w:val="single" w:color="1A3A6B" w:sz="20" w:space="12"/>
        </w:pBdr>
        <w:spacing w:after="160" w:before="160" w:line="340"/>
        <w:ind w:left="560" w:right="560"/>
        <w:jc w:val="both"/>
      </w:pPr>
      <w:r>
        <w:rPr>
          <w:b/>
          <w:bCs/>
          <w:i/>
          <w:iCs/>
          <w:color w:val="1A3A6B"/>
          <w:sz w:val="21"/>
          <w:szCs w:val="21"/>
        </w:rPr>
        <w:t xml:space="preserve">Varun Gumber v. Union Territory of Chandigarh &amp; Ors.</w:t>
      </w:r>
      <w:r>
        <w:rPr>
          <w:sz w:val="21"/>
          <w:szCs w:val="21"/>
        </w:rPr>
        <w:t xml:space="preserve"> — The Punjab and Haryana High Court held that participation in online fantasy sports does not constitute gambling and involves a substantial degree of skill, requiring the assessment of each athlete's relative worth, mastery of the rules of the sport, and careful analysis of player strengths and weaknesses.</w:t>
      </w:r>
    </w:p>
    <w:p>
      <w:pPr>
        <w:pBdr>
          <w:left w:val="single" w:color="1A3A6B" w:sz="20" w:space="12"/>
        </w:pBdr>
        <w:spacing w:after="160" w:before="80" w:line="340"/>
        <w:ind w:left="560" w:right="560"/>
        <w:jc w:val="both"/>
      </w:pPr>
      <w:r>
        <w:rPr>
          <w:b/>
          <w:bCs/>
          <w:i/>
          <w:iCs/>
          <w:color w:val="1A3A6B"/>
          <w:sz w:val="21"/>
          <w:szCs w:val="21"/>
        </w:rPr>
        <w:t xml:space="preserve">Gurdeep Singh Sachar v. Union of India</w:t>
      </w:r>
      <w:r>
        <w:rPr>
          <w:sz w:val="21"/>
          <w:szCs w:val="21"/>
        </w:rPr>
        <w:t xml:space="preserve"> — The Bombay High Court ruled that Dream11's fantasy sports format does not involve betting or gambling, as its outcome is not contingent upon the result of any particular real-world team in an actual sporting contest.</w:t>
      </w:r>
    </w:p>
    <w:p>
      <w:pPr>
        <w:spacing w:after="160" w:before="0" w:line="360"/>
        <w:jc w:val="both"/>
      </w:pPr>
      <w:r>
        <w:rPr>
          <w:sz w:val="23"/>
          <w:szCs w:val="23"/>
        </w:rPr>
        <w:t xml:space="preserve">These rulings, however, must be assessed in the context of robust and skilled legal advocacy. It is well recognised that regulatory frameworks frequently contain lacunae that commercial entities are adept at exploiting. Following the enactment of PROGA, platforms involving real-money risk suffered a significant regulatory setback. The Act strongly advocates for skill-based gaming — including e-sports and competitive online formats requiring demonstrable expertise — while expressly excluding chance-based games from its protective ambit. The regulatory space available to the latter category has been substantially and deliberately narrowed.</w:t>
      </w:r>
    </w:p>
    <w:p>
      <w:pPr>
        <w:spacing w:after="200"/>
      </w:pPr>
    </w:p>
    <w:p>
      <w:pPr>
        <w:spacing w:after="80" w:before="200"/>
      </w:pPr>
      <w:r>
        <w:rPr>
          <w:rFonts w:ascii="Arial" w:cs="Arial" w:eastAsia="Arial" w:hAnsi="Arial"/>
          <w:b/>
          <w:bCs/>
          <w:caps/>
          <w:color w:val="1A3A6B"/>
          <w:sz w:val="26"/>
          <w:szCs w:val="26"/>
        </w:rPr>
        <w:t xml:space="preserve">IV.  CONSTITUTIONAL CHALLENGES AND PROPORTIONALITY</w:t>
      </w:r>
    </w:p>
    <w:p>
      <w:pPr>
        <w:pBdr>
          <w:bottom w:val="single" w:color="1A3A6B" w:sz="4" w:space="1"/>
        </w:pBdr>
        <w:spacing w:after="160" w:before="0"/>
      </w:pPr>
    </w:p>
    <w:p>
      <w:pPr>
        <w:spacing w:after="160" w:before="0" w:line="360"/>
        <w:jc w:val="both"/>
      </w:pPr>
      <w:r>
        <w:rPr>
          <w:sz w:val="23"/>
          <w:szCs w:val="23"/>
        </w:rPr>
        <w:t xml:space="preserve">Multiple gaming platforms have challenged PROGA on the ground that it constitutes an overbroad, blanket regulation that inadvertently captures legitimate, innocent platforms within its restrictive ambit. The doctrine of proportionality has been invoked to contest the Act as a disproportionately sweeping response to a more limited legislative objective. Critics further allege that the legislation has been deployed as an instrument of arbitrary and uneven taxation, and that the Union is asserting legislative dominance at the expense of the constitutional domain reserved to the States.</w:t>
      </w:r>
    </w:p>
    <w:p>
      <w:pPr>
        <w:spacing w:after="160" w:before="0" w:line="360"/>
        <w:jc w:val="both"/>
      </w:pPr>
      <w:r>
        <w:rPr>
          <w:sz w:val="23"/>
          <w:szCs w:val="23"/>
        </w:rPr>
        <w:t xml:space="preserve">The constitutional questions raised are multi-dimensional. First, does PROGA's blanket prohibition constitute an unreasonable restriction on the fundamental right to trade and profession under Article 19(1)(g)? Second, does Parliament possess the requisite legislative competence under Entry 52 of the Union List to override the States' traditional domain under Entry 34 of the State List? Third, does the imposition of a 40% GST rate under a 'sin goods' classification represent a colourable exercise of parliamentary power — using the tax mechanism as a surrogate for prohibition?</w:t>
      </w:r>
    </w:p>
    <w:p>
      <w:pPr>
        <w:spacing w:after="160" w:before="0" w:line="360"/>
        <w:jc w:val="both"/>
      </w:pPr>
      <w:r>
        <w:rPr>
          <w:sz w:val="23"/>
          <w:szCs w:val="23"/>
        </w:rPr>
        <w:t xml:space="preserve">Nevertheless, it would be erroneous to dismiss the legitimate regulatory imperative that PROGA seeks to fulfil. As online gaming increasingly assumes the attributes of a recognised sport, and as e-sports establish themselves as a major segment of the global digital economy, the Union Government bears a substantial responsibility: to maintain regulated financial flows, prevent the misuse of digital financial instruments, protect individuals — particularly the youth — from addiction and financial exploitation, and to ensure that any restrictions imposed on the industry are truly proportionate to the harm sought to be averted.</w:t>
      </w:r>
    </w:p>
    <w:p>
      <w:pPr>
        <w:spacing w:after="160" w:before="0" w:line="360"/>
        <w:jc w:val="both"/>
      </w:pPr>
      <w:r>
        <w:rPr>
          <w:sz w:val="23"/>
          <w:szCs w:val="23"/>
        </w:rPr>
        <w:t xml:space="preserve">The imposition of a 40% GST on online real-money gaming and betting must accordingly be preceded by a careful and considered examination to ensure that legitimately skill-based platforms are not subsumed within the same fiscal category as pure gambling activities. The doctrine of proportionality demands no less.</w:t>
      </w:r>
    </w:p>
    <w:p>
      <w:pPr>
        <w:spacing w:after="200"/>
      </w:pPr>
    </w:p>
    <w:p>
      <w:pPr>
        <w:spacing w:after="80" w:before="200"/>
      </w:pPr>
      <w:r>
        <w:rPr>
          <w:rFonts w:ascii="Arial" w:cs="Arial" w:eastAsia="Arial" w:hAnsi="Arial"/>
          <w:b/>
          <w:bCs/>
          <w:caps/>
          <w:color w:val="1A3A6B"/>
          <w:sz w:val="26"/>
          <w:szCs w:val="26"/>
        </w:rPr>
        <w:t xml:space="preserve">V.  CONCLUSION</w:t>
      </w:r>
    </w:p>
    <w:p>
      <w:pPr>
        <w:pBdr>
          <w:bottom w:val="single" w:color="1A3A6B" w:sz="4" w:space="1"/>
        </w:pBdr>
        <w:spacing w:after="160" w:before="0"/>
      </w:pPr>
    </w:p>
    <w:p>
      <w:pPr>
        <w:spacing w:after="160" w:before="0" w:line="360"/>
        <w:jc w:val="both"/>
      </w:pPr>
      <w:r>
        <w:rPr>
          <w:sz w:val="23"/>
          <w:szCs w:val="23"/>
        </w:rPr>
        <w:t xml:space="preserve">The legal trajectory of online gaming in India reflects a deliberate and evolving judicial engagement with the tension between economic freedom and the State's police power, spanning nearly seven decades. It commenced with the foundational 'preponderance of skill' test articulated in R.M.D. Chamarbaugwala v. Union of India (1957), was refined through K.R. Lakshmanan v. State of Tamil Nadu (1996), and was definitively applied to the fantasy sports format in the Dream11 litigation between 2017 and 2021. Throughout this jurisprudential arc, Indian courts consistently affirmed that games in which skill predominates over chance constitute legitimate commercial activity protected under Article 19(1)(g) of the Constitution — thereby establishing a principled constitutional demarcation between regulated gaming and prohibited gambling.</w:t>
      </w:r>
    </w:p>
    <w:p>
      <w:pPr>
        <w:spacing w:after="160" w:before="0" w:line="360"/>
        <w:jc w:val="both"/>
      </w:pPr>
      <w:r>
        <w:rPr>
          <w:sz w:val="23"/>
          <w:szCs w:val="23"/>
        </w:rPr>
        <w:t xml:space="preserve">The Information Technology (Intermediary Guidelines and Digital Media Ethics Code) Amendment Rules, 2023 attempted to introduce a centralised regulatory architecture but fell short of delivering a coherent framework, leaving the sector in a state of persistent legal uncertainty across fragmented state-level regimes. The enactment of PROGA, 2025, marks a decisive rupture from this established jurisprudential tradition. By imposing a blanket prohibition on all online real-money games — irrespective of their skill-based character — and simultaneously levying a 40% GST rate under a 'sin goods' classification, the State has effectively substituted structured governance with fiscal elimination. This approach raises grave constitutional questions concerning the proportionality of the restriction on rights under Article 19(1)(g), the Union's legislative competence vis-à-vis the States, and the possible colourable exercise of parliamentary authority.</w:t>
      </w:r>
    </w:p>
    <w:p>
      <w:pPr>
        <w:spacing w:after="160" w:before="0" w:line="360"/>
        <w:jc w:val="both"/>
      </w:pPr>
      <w:r>
        <w:rPr>
          <w:sz w:val="23"/>
          <w:szCs w:val="23"/>
        </w:rPr>
        <w:t xml:space="preserve">The Supreme Court's adjudication of the pending constitutional challenges to PROGA will be a watershed moment — one that will determine not merely the fate of a burgeoning industry, but the outer limits of State paternalism against judicially affirmed fundamental rights in India's digital age.</w:t>
      </w:r>
    </w:p>
    <w:p>
      <w:pPr>
        <w:pBdr>
          <w:left w:val="single" w:color="C0392B" w:sz="28" w:space="16"/>
        </w:pBdr>
        <w:spacing w:after="160" w:before="280" w:line="360"/>
        <w:ind w:left="400"/>
        <w:jc w:val="both"/>
      </w:pPr>
      <w:r>
        <w:rPr>
          <w:b/>
          <w:bCs/>
          <w:i/>
          <w:iCs/>
          <w:color w:val="C0392B"/>
          <w:sz w:val="25"/>
          <w:szCs w:val="25"/>
        </w:rPr>
        <w:t xml:space="preserve">What India needs today is robust, proportionate regulation — not blanket, forceful imposition.</w:t>
      </w:r>
    </w:p>
    <w:p>
      <w:pPr>
        <w:pBdr>
          <w:bottom w:val="single" w:color="CCCCCC" w:sz="4" w:space="1"/>
        </w:pBdr>
        <w:spacing w:after="160" w:before="0"/>
      </w:pPr>
    </w:p>
    <w:p>
      <w:pPr>
        <w:spacing w:after="80" w:before="160"/>
      </w:pPr>
      <w:r>
        <w:rPr>
          <w:rFonts w:ascii="Arial" w:cs="Arial" w:eastAsia="Arial" w:hAnsi="Arial"/>
          <w:b/>
          <w:bCs/>
          <w:caps/>
          <w:color w:val="555555"/>
          <w:sz w:val="20"/>
          <w:szCs w:val="20"/>
        </w:rPr>
        <w:t xml:space="preserve">KEY CASES CITED</w:t>
      </w:r>
    </w:p>
    <w:p>
      <w:pPr>
        <w:spacing w:after="60" w:line="300"/>
        <w:ind w:left="360" w:hanging="360"/>
      </w:pPr>
      <w:r>
        <w:rPr>
          <w:b/>
          <w:bCs/>
          <w:color w:val="1A3A6B"/>
          <w:sz w:val="20"/>
          <w:szCs w:val="20"/>
        </w:rPr>
        <w:t xml:space="preserve">›  </w:t>
      </w:r>
      <w:r>
        <w:rPr>
          <w:i/>
          <w:iCs/>
          <w:color w:val="333333"/>
          <w:sz w:val="20"/>
          <w:szCs w:val="20"/>
        </w:rPr>
        <w:t xml:space="preserve">R.M.D. Chamarbaugwala v. Union of India, AIR 1957 SC 628</w:t>
      </w:r>
    </w:p>
    <w:p>
      <w:pPr>
        <w:spacing w:after="60" w:line="300"/>
        <w:ind w:left="360" w:hanging="360"/>
      </w:pPr>
      <w:r>
        <w:rPr>
          <w:b/>
          <w:bCs/>
          <w:color w:val="1A3A6B"/>
          <w:sz w:val="20"/>
          <w:szCs w:val="20"/>
        </w:rPr>
        <w:t xml:space="preserve">›  </w:t>
      </w:r>
      <w:r>
        <w:rPr>
          <w:i/>
          <w:iCs/>
          <w:color w:val="333333"/>
          <w:sz w:val="20"/>
          <w:szCs w:val="20"/>
        </w:rPr>
        <w:t xml:space="preserve">K.R. Lakshmanan v. State of Tamil Nadu, (1996) 2 SCC 226</w:t>
      </w:r>
    </w:p>
    <w:p>
      <w:pPr>
        <w:spacing w:after="60" w:line="300"/>
        <w:ind w:left="360" w:hanging="360"/>
      </w:pPr>
      <w:r>
        <w:rPr>
          <w:b/>
          <w:bCs/>
          <w:color w:val="1A3A6B"/>
          <w:sz w:val="20"/>
          <w:szCs w:val="20"/>
        </w:rPr>
        <w:t xml:space="preserve">›  </w:t>
      </w:r>
      <w:r>
        <w:rPr>
          <w:i/>
          <w:iCs/>
          <w:color w:val="333333"/>
          <w:sz w:val="20"/>
          <w:szCs w:val="20"/>
        </w:rPr>
        <w:t xml:space="preserve">Varun Gumber v. Union Territory of Chandigarh &amp; Ors., CWP-7559-2017 (P&amp;H HC)</w:t>
      </w:r>
    </w:p>
    <w:p>
      <w:pPr>
        <w:spacing w:after="60" w:line="300"/>
        <w:ind w:left="360" w:hanging="360"/>
      </w:pPr>
      <w:r>
        <w:rPr>
          <w:b/>
          <w:bCs/>
          <w:color w:val="1A3A6B"/>
          <w:sz w:val="20"/>
          <w:szCs w:val="20"/>
        </w:rPr>
        <w:t xml:space="preserve">›  </w:t>
      </w:r>
      <w:r>
        <w:rPr>
          <w:i/>
          <w:iCs/>
          <w:color w:val="333333"/>
          <w:sz w:val="20"/>
          <w:szCs w:val="20"/>
        </w:rPr>
        <w:t xml:space="preserve">Gurdeep Singh Sachar v. Union of India, (2019) Bom HC</w:t>
      </w:r>
    </w:p>
    <w:p>
      <w:pPr>
        <w:spacing w:after="60" w:line="300"/>
        <w:ind w:left="360" w:hanging="360"/>
      </w:pPr>
      <w:r>
        <w:rPr>
          <w:b/>
          <w:bCs/>
          <w:color w:val="1A3A6B"/>
          <w:sz w:val="20"/>
          <w:szCs w:val="20"/>
        </w:rPr>
        <w:t xml:space="preserve">›  </w:t>
      </w:r>
      <w:r>
        <w:rPr>
          <w:i/>
          <w:iCs/>
          <w:color w:val="333333"/>
          <w:sz w:val="20"/>
          <w:szCs w:val="20"/>
        </w:rPr>
        <w:t xml:space="preserve">Dream11 Fantasy Pvt. Ltd. v. Board of Control for Cricket in India &amp; Ors., (2017–2021)</w:t>
      </w:r>
    </w:p>
    <w:p>
      <w:pPr>
        <w:spacing w:after="80"/>
      </w:pPr>
    </w:p>
    <w:p>
      <w:pPr>
        <w:spacing w:after="60" w:before="80"/>
      </w:pPr>
      <w:r>
        <w:rPr>
          <w:rFonts w:ascii="Arial" w:cs="Arial" w:eastAsia="Arial" w:hAnsi="Arial"/>
          <w:b/>
          <w:bCs/>
          <w:caps/>
          <w:color w:val="555555"/>
          <w:sz w:val="20"/>
          <w:szCs w:val="20"/>
        </w:rPr>
        <w:t xml:space="preserve">LEGISLATIVE INSTRUMENTS</w:t>
      </w:r>
    </w:p>
    <w:p>
      <w:pPr>
        <w:spacing w:after="60" w:line="300"/>
        <w:ind w:left="360" w:hanging="360"/>
      </w:pPr>
      <w:r>
        <w:rPr>
          <w:b/>
          <w:bCs/>
          <w:color w:val="1A3A6B"/>
          <w:sz w:val="20"/>
          <w:szCs w:val="20"/>
        </w:rPr>
        <w:t xml:space="preserve">›  </w:t>
      </w:r>
      <w:r>
        <w:rPr>
          <w:color w:val="333333"/>
          <w:sz w:val="20"/>
          <w:szCs w:val="20"/>
        </w:rPr>
        <w:t xml:space="preserve">Promotion and Regulation of Online Gaming Act, 2025 (PROGA)</w:t>
      </w:r>
    </w:p>
    <w:p>
      <w:pPr>
        <w:spacing w:after="60" w:line="300"/>
        <w:ind w:left="360" w:hanging="360"/>
      </w:pPr>
      <w:r>
        <w:rPr>
          <w:b/>
          <w:bCs/>
          <w:color w:val="1A3A6B"/>
          <w:sz w:val="20"/>
          <w:szCs w:val="20"/>
        </w:rPr>
        <w:t xml:space="preserve">›  </w:t>
      </w:r>
      <w:r>
        <w:rPr>
          <w:color w:val="333333"/>
          <w:sz w:val="20"/>
          <w:szCs w:val="20"/>
        </w:rPr>
        <w:t xml:space="preserve">Information Technology (Intermediary Guidelines and Digital Media Ethics Code) Amendment Rules, 2023</w:t>
      </w:r>
    </w:p>
    <w:p>
      <w:pPr>
        <w:spacing w:after="60" w:line="300"/>
        <w:ind w:left="360" w:hanging="360"/>
      </w:pPr>
      <w:r>
        <w:rPr>
          <w:b/>
          <w:bCs/>
          <w:color w:val="1A3A6B"/>
          <w:sz w:val="20"/>
          <w:szCs w:val="20"/>
        </w:rPr>
        <w:t xml:space="preserve">›  </w:t>
      </w:r>
      <w:r>
        <w:rPr>
          <w:color w:val="333333"/>
          <w:sz w:val="20"/>
          <w:szCs w:val="20"/>
        </w:rPr>
        <w:t xml:space="preserve">Constitution of India — Articles 19(1)(g), Entry 34 (State List), Entries 31, 41, 42, 52 (Union List)</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80"/>
      <w:jc w:val="center"/>
    </w:pPr>
    <w:r>
      <w:rPr>
        <w:rFonts w:ascii="Arial" w:cs="Arial" w:eastAsia="Arial" w:hAnsi="Arial"/>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3A6B" w:sz="4" w:space="4"/>
      </w:pBdr>
      <w:spacing w:after="80"/>
      <w:jc w:val="right"/>
    </w:pPr>
    <w:r>
      <w:rPr>
        <w:rFonts w:ascii="Arial" w:cs="Arial" w:eastAsia="Arial" w:hAnsi="Arial"/>
        <w:color w:val="555555"/>
        <w:sz w:val="16"/>
        <w:szCs w:val="16"/>
      </w:rPr>
      <w:t xml:space="preserve">ONLINE GAMING LAWS  |  Regulatory Frameworks &amp; Constitutional Issues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2026-06-08T13:17:33.950Z</dcterms:created>
  <dcterms:modified xsi:type="dcterms:W3CDTF">2026-06-08T13:17:33.950Z</dcterms:modified>
</cp:coreProperties>
</file>

<file path=docProps/custom.xml><?xml version="1.0" encoding="utf-8"?>
<Properties xmlns="http://schemas.openxmlformats.org/officeDocument/2006/custom-properties" xmlns:vt="http://schemas.openxmlformats.org/officeDocument/2006/docPropsVTypes"/>
</file>