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75D9E" w14:textId="77777777" w:rsidR="005D4C14" w:rsidRDefault="005D4C14" w:rsidP="005D4C14">
      <w:pPr>
        <w:spacing w:line="360" w:lineRule="auto"/>
        <w:jc w:val="center"/>
        <w:rPr>
          <w:rFonts w:ascii="Times New Roman" w:hAnsi="Times New Roman" w:cs="Times New Roman"/>
          <w:b/>
          <w:bCs/>
          <w:sz w:val="36"/>
          <w:szCs w:val="36"/>
        </w:rPr>
      </w:pPr>
      <w:r w:rsidRPr="00816BC7">
        <w:rPr>
          <w:rFonts w:ascii="Times New Roman" w:hAnsi="Times New Roman" w:cs="Times New Roman"/>
          <w:b/>
          <w:bCs/>
          <w:sz w:val="36"/>
          <w:szCs w:val="36"/>
        </w:rPr>
        <w:t>Free Legal aid in India</w:t>
      </w:r>
    </w:p>
    <w:p w14:paraId="46056566" w14:textId="4916DD04" w:rsidR="00540ECF" w:rsidRPr="00540ECF" w:rsidRDefault="00540ECF" w:rsidP="00540ECF">
      <w:pPr>
        <w:spacing w:line="360" w:lineRule="auto"/>
        <w:rPr>
          <w:rFonts w:ascii="Times New Roman" w:hAnsi="Times New Roman" w:cs="Times New Roman"/>
          <w:b/>
          <w:bCs/>
        </w:rPr>
      </w:pPr>
      <w:r>
        <w:rPr>
          <w:rFonts w:ascii="Times New Roman" w:hAnsi="Times New Roman" w:cs="Times New Roman"/>
          <w:b/>
          <w:bCs/>
        </w:rPr>
        <w:t xml:space="preserve">By: Gujarathi Nanditha </w:t>
      </w:r>
    </w:p>
    <w:p w14:paraId="54E0A48E" w14:textId="4915C5C2" w:rsidR="005D4C14" w:rsidRPr="00A03CD6" w:rsidRDefault="005D4C14"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Introduction:</w:t>
      </w:r>
    </w:p>
    <w:p w14:paraId="2D2A3AEF" w14:textId="05EE2479" w:rsidR="005D4C14" w:rsidRDefault="00C176AC" w:rsidP="005D4C14">
      <w:pPr>
        <w:spacing w:line="360" w:lineRule="auto"/>
        <w:jc w:val="both"/>
        <w:rPr>
          <w:rFonts w:ascii="Times New Roman" w:hAnsi="Times New Roman" w:cs="Times New Roman"/>
        </w:rPr>
      </w:pPr>
      <w:r w:rsidRPr="00C176AC">
        <w:rPr>
          <w:rFonts w:ascii="Times New Roman" w:hAnsi="Times New Roman" w:cs="Times New Roman"/>
        </w:rPr>
        <w:t>To provide access to justice, the Indian justice system provides free legal services with the aim of providing legal representation to people who are economically or socially disadvantaged. Free legal services have been available in India through the Legal Services Authorities Act of 1987</w:t>
      </w:r>
      <w:r w:rsidR="005D4C14">
        <w:rPr>
          <w:rStyle w:val="FootnoteReference"/>
          <w:rFonts w:ascii="Times New Roman" w:hAnsi="Times New Roman" w:cs="Times New Roman"/>
        </w:rPr>
        <w:footnoteReference w:id="1"/>
      </w:r>
      <w:r w:rsidRPr="00C176AC">
        <w:rPr>
          <w:rFonts w:ascii="Times New Roman" w:hAnsi="Times New Roman" w:cs="Times New Roman"/>
        </w:rPr>
        <w:t>, which has tried to narrow the divide between elite and disadvantaged groups in India seeking justice. To optimise the functioning of free legal aid services, there are 3 primary areas that need to be addressed</w:t>
      </w:r>
    </w:p>
    <w:p w14:paraId="228DF396" w14:textId="64461ED6" w:rsidR="005D4C14" w:rsidRPr="005D4C14" w:rsidRDefault="005D4C14" w:rsidP="005D4C14">
      <w:pPr>
        <w:pStyle w:val="ListParagraph"/>
        <w:numPr>
          <w:ilvl w:val="0"/>
          <w:numId w:val="1"/>
        </w:numPr>
        <w:spacing w:line="360" w:lineRule="auto"/>
        <w:jc w:val="both"/>
        <w:rPr>
          <w:rFonts w:ascii="Times New Roman" w:hAnsi="Times New Roman" w:cs="Times New Roman"/>
        </w:rPr>
      </w:pPr>
      <w:r w:rsidRPr="005D4C14">
        <w:rPr>
          <w:rFonts w:ascii="Times New Roman" w:hAnsi="Times New Roman" w:cs="Times New Roman"/>
        </w:rPr>
        <w:t>I</w:t>
      </w:r>
      <w:r w:rsidR="00C176AC" w:rsidRPr="005D4C14">
        <w:rPr>
          <w:rFonts w:ascii="Times New Roman" w:hAnsi="Times New Roman" w:cs="Times New Roman"/>
        </w:rPr>
        <w:t>nstitutional processes</w:t>
      </w:r>
    </w:p>
    <w:p w14:paraId="5E19DD2E" w14:textId="0BC2B6AB" w:rsidR="005D4C14" w:rsidRPr="005D4C14" w:rsidRDefault="005D4C14" w:rsidP="005D4C14">
      <w:pPr>
        <w:pStyle w:val="ListParagraph"/>
        <w:numPr>
          <w:ilvl w:val="0"/>
          <w:numId w:val="1"/>
        </w:numPr>
        <w:spacing w:line="360" w:lineRule="auto"/>
        <w:jc w:val="both"/>
        <w:rPr>
          <w:rFonts w:ascii="Times New Roman" w:hAnsi="Times New Roman" w:cs="Times New Roman"/>
        </w:rPr>
      </w:pPr>
      <w:r w:rsidRPr="005D4C14">
        <w:rPr>
          <w:rFonts w:ascii="Times New Roman" w:hAnsi="Times New Roman" w:cs="Times New Roman"/>
        </w:rPr>
        <w:t>F</w:t>
      </w:r>
      <w:r w:rsidR="00C176AC" w:rsidRPr="005D4C14">
        <w:rPr>
          <w:rFonts w:ascii="Times New Roman" w:hAnsi="Times New Roman" w:cs="Times New Roman"/>
        </w:rPr>
        <w:t xml:space="preserve">unding levels for the provision of free legal aid </w:t>
      </w:r>
    </w:p>
    <w:p w14:paraId="627812A1" w14:textId="21470FA5" w:rsidR="00C176AC" w:rsidRPr="005D4C14" w:rsidRDefault="005D4C14" w:rsidP="005D4C14">
      <w:pPr>
        <w:pStyle w:val="ListParagraph"/>
        <w:numPr>
          <w:ilvl w:val="0"/>
          <w:numId w:val="1"/>
        </w:numPr>
        <w:spacing w:line="360" w:lineRule="auto"/>
        <w:jc w:val="both"/>
        <w:rPr>
          <w:rFonts w:ascii="Times New Roman" w:hAnsi="Times New Roman" w:cs="Times New Roman"/>
        </w:rPr>
      </w:pPr>
      <w:r w:rsidRPr="005D4C14">
        <w:rPr>
          <w:rFonts w:ascii="Times New Roman" w:hAnsi="Times New Roman" w:cs="Times New Roman"/>
        </w:rPr>
        <w:t>T</w:t>
      </w:r>
      <w:r w:rsidR="00C176AC" w:rsidRPr="005D4C14">
        <w:rPr>
          <w:rFonts w:ascii="Times New Roman" w:hAnsi="Times New Roman" w:cs="Times New Roman"/>
        </w:rPr>
        <w:t>he quality of the legal services that are provided as free legal services.</w:t>
      </w:r>
    </w:p>
    <w:p w14:paraId="336F9A6F" w14:textId="547C7367" w:rsidR="00C176AC" w:rsidRPr="00A03CD6" w:rsidRDefault="005D4C14"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Meaning and Importance of Free Legal Aid:</w:t>
      </w:r>
    </w:p>
    <w:p w14:paraId="05F01103" w14:textId="70C46620" w:rsidR="00C176AC" w:rsidRDefault="00C176AC" w:rsidP="005D4C14">
      <w:pPr>
        <w:spacing w:line="360" w:lineRule="auto"/>
        <w:jc w:val="both"/>
        <w:rPr>
          <w:rFonts w:ascii="Times New Roman" w:hAnsi="Times New Roman" w:cs="Times New Roman"/>
        </w:rPr>
      </w:pPr>
      <w:r w:rsidRPr="00C176AC">
        <w:rPr>
          <w:rFonts w:ascii="Times New Roman" w:hAnsi="Times New Roman" w:cs="Times New Roman"/>
        </w:rPr>
        <w:t>The term "free legal aid" refers to the provision of subsidised legal representation to individuals who do not have the means (i.e. financial ability) to obtain legal services. The ultimate goal of the free legal aid system is to ensure that anyone, regardless of their financial status, is provided access to and representation within the justice system. This initiative seeks to resolve the gap between the rights that are provided by law and the means of effectively defending those rights.</w:t>
      </w:r>
    </w:p>
    <w:p w14:paraId="458A508E" w14:textId="398EC932" w:rsidR="00C176AC" w:rsidRPr="00C176AC" w:rsidRDefault="00C176AC" w:rsidP="005D4C14">
      <w:pPr>
        <w:spacing w:line="360" w:lineRule="auto"/>
        <w:jc w:val="both"/>
        <w:rPr>
          <w:rFonts w:ascii="Times New Roman" w:hAnsi="Times New Roman" w:cs="Times New Roman"/>
        </w:rPr>
      </w:pPr>
      <w:r w:rsidRPr="00C176AC">
        <w:rPr>
          <w:rFonts w:ascii="Times New Roman" w:hAnsi="Times New Roman" w:cs="Times New Roman"/>
        </w:rPr>
        <w:t xml:space="preserve">Providing access to all people to legal resources, such as obtaining the assistance of an attorney, is consistent with the principle of equality </w:t>
      </w:r>
      <w:r w:rsidR="00672B85" w:rsidRPr="00C176AC">
        <w:rPr>
          <w:rFonts w:ascii="Times New Roman" w:hAnsi="Times New Roman" w:cs="Times New Roman"/>
        </w:rPr>
        <w:t>under</w:t>
      </w:r>
      <w:r w:rsidRPr="00C176AC">
        <w:rPr>
          <w:rFonts w:ascii="Times New Roman" w:hAnsi="Times New Roman" w:cs="Times New Roman"/>
        </w:rPr>
        <w:t xml:space="preserve"> the law; this means that every person, regardless of their socioeconomic status, has a right to access legal assistance. </w:t>
      </w:r>
    </w:p>
    <w:p w14:paraId="78B72669" w14:textId="1BF9F99F" w:rsidR="00C176AC" w:rsidRDefault="00C176AC" w:rsidP="005D4C14">
      <w:pPr>
        <w:spacing w:line="360" w:lineRule="auto"/>
        <w:jc w:val="both"/>
        <w:rPr>
          <w:rFonts w:ascii="Times New Roman" w:hAnsi="Times New Roman" w:cs="Times New Roman"/>
        </w:rPr>
      </w:pPr>
      <w:r w:rsidRPr="00C176AC">
        <w:rPr>
          <w:rFonts w:ascii="Times New Roman" w:hAnsi="Times New Roman" w:cs="Times New Roman"/>
        </w:rPr>
        <w:t>Legal Aid also helps bring about social justice through eradicating systemic inequities and helping marginalised groups to challenge unfair discrimination. Building confidence in the justice system is essential to creating accountability in adhering to good governance principles and furthering the promotion of democratic ideals that legal aid attempts to accomplish.</w:t>
      </w:r>
    </w:p>
    <w:p w14:paraId="3BB0C86F" w14:textId="2B95F3AF" w:rsidR="00672B85" w:rsidRPr="00A03CD6" w:rsidRDefault="00672B85" w:rsidP="00672B85">
      <w:pPr>
        <w:spacing w:line="360" w:lineRule="auto"/>
        <w:rPr>
          <w:rFonts w:ascii="Times New Roman" w:hAnsi="Times New Roman" w:cs="Times New Roman"/>
          <w:b/>
          <w:bCs/>
          <w:u w:val="single"/>
          <w:lang w:val="en-US"/>
        </w:rPr>
      </w:pPr>
      <w:r w:rsidRPr="00A03CD6">
        <w:rPr>
          <w:rFonts w:ascii="Times New Roman" w:hAnsi="Times New Roman" w:cs="Times New Roman"/>
          <w:b/>
          <w:bCs/>
          <w:u w:val="single"/>
          <w:lang w:val="en-US"/>
        </w:rPr>
        <w:t>Historical background of legal aid in India:</w:t>
      </w:r>
    </w:p>
    <w:p w14:paraId="52CB9076" w14:textId="0D3195C8"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lastRenderedPageBreak/>
        <w:t>The Law Commission's 14th report in 1958 noted that the goal of providing fair justice to citizens should also include the use of free legal aid.</w:t>
      </w:r>
      <w:r w:rsidR="00672B85">
        <w:rPr>
          <w:rStyle w:val="FootnoteReference"/>
          <w:rFonts w:ascii="Times New Roman" w:hAnsi="Times New Roman" w:cs="Times New Roman"/>
        </w:rPr>
        <w:footnoteReference w:id="2"/>
      </w:r>
    </w:p>
    <w:p w14:paraId="37B33384" w14:textId="1F24F72F"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t xml:space="preserve">In 1973, the establishment of the free legal aid system initiated in Kerala could not have been accomplished without the assistance of the Expert Committee led by Mr. Justice V. R. Krishna Iyer </w:t>
      </w:r>
      <w:r w:rsidR="00A03CD6">
        <w:rPr>
          <w:rStyle w:val="FootnoteReference"/>
          <w:rFonts w:ascii="Times New Roman" w:hAnsi="Times New Roman" w:cs="Times New Roman"/>
        </w:rPr>
        <w:footnoteReference w:id="3"/>
      </w:r>
      <w:r w:rsidRPr="00077B02">
        <w:rPr>
          <w:rFonts w:ascii="Times New Roman" w:hAnsi="Times New Roman" w:cs="Times New Roman"/>
        </w:rPr>
        <w:t>which found an institutional model for providing access to legal aid. Article 39 A of the Directive Principles of State Policy was introduced by the 42nd Amendment to the Constitution of India in 1976 and mandates free legal representation for persons unable to pay the fees associated with going to court.</w:t>
      </w:r>
    </w:p>
    <w:p w14:paraId="10EC90C6" w14:textId="5CE64E6F" w:rsidR="00672B85" w:rsidRPr="00A03CD6" w:rsidRDefault="00672B85"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Constitutional and Statutory Provisions:</w:t>
      </w:r>
    </w:p>
    <w:p w14:paraId="47867D92" w14:textId="4105B4D0" w:rsidR="00077B02" w:rsidRDefault="002A49B5" w:rsidP="005D4C14">
      <w:pPr>
        <w:spacing w:line="360" w:lineRule="auto"/>
        <w:jc w:val="both"/>
        <w:rPr>
          <w:rFonts w:ascii="Times New Roman" w:hAnsi="Times New Roman" w:cs="Times New Roman"/>
        </w:rPr>
      </w:pPr>
      <w:r>
        <w:rPr>
          <w:rFonts w:ascii="Times New Roman" w:hAnsi="Times New Roman" w:cs="Times New Roman"/>
        </w:rPr>
        <w:t>S</w:t>
      </w:r>
      <w:r w:rsidR="00077B02" w:rsidRPr="00077B02">
        <w:rPr>
          <w:rFonts w:ascii="Times New Roman" w:hAnsi="Times New Roman" w:cs="Times New Roman"/>
        </w:rPr>
        <w:t>ection 304 of the Code of Criminal Procedure (1973)</w:t>
      </w:r>
      <w:r w:rsidR="00672B85">
        <w:rPr>
          <w:rStyle w:val="FootnoteReference"/>
          <w:rFonts w:ascii="Times New Roman" w:hAnsi="Times New Roman" w:cs="Times New Roman"/>
        </w:rPr>
        <w:footnoteReference w:id="4"/>
      </w:r>
      <w:r w:rsidR="00077B02" w:rsidRPr="00077B02">
        <w:rPr>
          <w:rFonts w:ascii="Times New Roman" w:hAnsi="Times New Roman" w:cs="Times New Roman"/>
        </w:rPr>
        <w:t xml:space="preserve"> provides that all defendants who cannot afford a lawyer are entitled to have one assigned at public expense ensuring that their right to a fair trial is protected. </w:t>
      </w:r>
      <w:r w:rsidR="00077B02" w:rsidRPr="0049668B">
        <w:rPr>
          <w:rFonts w:ascii="Times New Roman" w:hAnsi="Times New Roman" w:cs="Times New Roman"/>
        </w:rPr>
        <w:t xml:space="preserve">Additionally, Order 33 of the Code of Civil Procedure </w:t>
      </w:r>
      <w:r w:rsidR="00672B85">
        <w:rPr>
          <w:rStyle w:val="FootnoteReference"/>
          <w:rFonts w:ascii="Times New Roman" w:hAnsi="Times New Roman" w:cs="Times New Roman"/>
        </w:rPr>
        <w:footnoteReference w:id="5"/>
      </w:r>
      <w:r w:rsidR="00077B02" w:rsidRPr="0049668B">
        <w:rPr>
          <w:rFonts w:ascii="Times New Roman" w:hAnsi="Times New Roman" w:cs="Times New Roman"/>
        </w:rPr>
        <w:t>allows economically weaker individuals to file suits without paying court fees, removing financial barriers to legal recourse.</w:t>
      </w:r>
    </w:p>
    <w:p w14:paraId="66ED92F7" w14:textId="356C7E91"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t>The Articles of the Indian Constitution that protect the right to access justice (primarily Articles 39A</w:t>
      </w:r>
      <w:r w:rsidR="00672B85">
        <w:rPr>
          <w:rStyle w:val="FootnoteReference"/>
          <w:rFonts w:ascii="Times New Roman" w:hAnsi="Times New Roman" w:cs="Times New Roman"/>
        </w:rPr>
        <w:footnoteReference w:id="6"/>
      </w:r>
      <w:r w:rsidRPr="00077B02">
        <w:rPr>
          <w:rFonts w:ascii="Times New Roman" w:hAnsi="Times New Roman" w:cs="Times New Roman"/>
        </w:rPr>
        <w:t>, 14,</w:t>
      </w:r>
      <w:r w:rsidR="00672B85">
        <w:rPr>
          <w:rStyle w:val="FootnoteReference"/>
          <w:rFonts w:ascii="Times New Roman" w:hAnsi="Times New Roman" w:cs="Times New Roman"/>
        </w:rPr>
        <w:footnoteReference w:id="7"/>
      </w:r>
      <w:r w:rsidRPr="00077B02">
        <w:rPr>
          <w:rFonts w:ascii="Times New Roman" w:hAnsi="Times New Roman" w:cs="Times New Roman"/>
        </w:rPr>
        <w:t xml:space="preserve"> 21</w:t>
      </w:r>
      <w:r w:rsidR="00672B85">
        <w:rPr>
          <w:rStyle w:val="FootnoteReference"/>
          <w:rFonts w:ascii="Times New Roman" w:hAnsi="Times New Roman" w:cs="Times New Roman"/>
        </w:rPr>
        <w:footnoteReference w:id="8"/>
      </w:r>
      <w:r w:rsidRPr="00077B02">
        <w:rPr>
          <w:rFonts w:ascii="Times New Roman" w:hAnsi="Times New Roman" w:cs="Times New Roman"/>
        </w:rPr>
        <w:t>, and 22(1)</w:t>
      </w:r>
      <w:r w:rsidR="00672B85">
        <w:rPr>
          <w:rStyle w:val="FootnoteReference"/>
          <w:rFonts w:ascii="Times New Roman" w:hAnsi="Times New Roman" w:cs="Times New Roman"/>
        </w:rPr>
        <w:footnoteReference w:id="9"/>
      </w:r>
      <w:r w:rsidRPr="00077B02">
        <w:rPr>
          <w:rFonts w:ascii="Times New Roman" w:hAnsi="Times New Roman" w:cs="Times New Roman"/>
        </w:rPr>
        <w:t xml:space="preserve">) provide the foundation for equal access to justice. Article 39A provides a legal right to free legal aid to alleviate barriers for people who cannot afford a lawyer, thus preventing economic barriers to accessing justice. Article 14 </w:t>
      </w:r>
      <w:r w:rsidR="00672B85">
        <w:rPr>
          <w:rStyle w:val="FootnoteReference"/>
          <w:rFonts w:ascii="Times New Roman" w:hAnsi="Times New Roman" w:cs="Times New Roman"/>
        </w:rPr>
        <w:footnoteReference w:id="10"/>
      </w:r>
      <w:r w:rsidRPr="00077B02">
        <w:rPr>
          <w:rFonts w:ascii="Times New Roman" w:hAnsi="Times New Roman" w:cs="Times New Roman"/>
        </w:rPr>
        <w:t>protects all individuals from discrimination, so all persons will have equal legal protection. Additionally, Article 21 provides for the protection of the right to life and liberty, which includes the right to free legal representation. Article 22(1) guarantees the right to consult with a lawyer for those who are arrested, so that the principles of a fair trial can be upheld.</w:t>
      </w:r>
    </w:p>
    <w:p w14:paraId="432BEFAA" w14:textId="6C79A39F" w:rsidR="00077B02" w:rsidRPr="00672B85" w:rsidRDefault="00672B85" w:rsidP="00672B85">
      <w:pPr>
        <w:spacing w:line="360" w:lineRule="auto"/>
        <w:rPr>
          <w:rFonts w:ascii="Times New Roman" w:hAnsi="Times New Roman" w:cs="Times New Roman"/>
          <w:b/>
          <w:bCs/>
          <w:u w:val="single"/>
        </w:rPr>
      </w:pPr>
      <w:r w:rsidRPr="00874198">
        <w:rPr>
          <w:rFonts w:ascii="Times New Roman" w:hAnsi="Times New Roman" w:cs="Times New Roman"/>
          <w:b/>
          <w:bCs/>
          <w:u w:val="single"/>
        </w:rPr>
        <w:t xml:space="preserve">Judiciary’s Role: </w:t>
      </w:r>
    </w:p>
    <w:p w14:paraId="249EA0EA" w14:textId="3020A95C"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lastRenderedPageBreak/>
        <w:t xml:space="preserve">The case of Hussainara Khatoon v. State of Bihar </w:t>
      </w:r>
      <w:r w:rsidR="00672B85">
        <w:rPr>
          <w:rStyle w:val="FootnoteReference"/>
          <w:rFonts w:ascii="Times New Roman" w:hAnsi="Times New Roman" w:cs="Times New Roman"/>
        </w:rPr>
        <w:footnoteReference w:id="11"/>
      </w:r>
      <w:r w:rsidRPr="00077B02">
        <w:rPr>
          <w:rFonts w:ascii="Times New Roman" w:hAnsi="Times New Roman" w:cs="Times New Roman"/>
        </w:rPr>
        <w:t>underscored the plight of undertrial prisoners impacted by their inability to secure adequate legal representation before the court and have been forced to languish in jail for extended periods of time. The Supreme Court held that the right to a speedy trial is implicit in Article 21 of the Constitution and directly correlated to an individual's right to life and personal liberty. Accordingly, the Supreme Court instructed that states shall provide free legal assistance to poor and marginalized individuals in an effort to ensure the fair administration of justice.</w:t>
      </w:r>
    </w:p>
    <w:p w14:paraId="3B27E330" w14:textId="69B18790" w:rsidR="00077B02" w:rsidRPr="00A03CD6" w:rsidRDefault="00077B02"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Challenge to Free Legal Aid:</w:t>
      </w:r>
    </w:p>
    <w:p w14:paraId="2D5F8A2A" w14:textId="6DFD96CC"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t xml:space="preserve">Insufficient funding is the primary obstacle to providing free legal aid, as funding limits the number of qualified attorneys who can be hired and provides legal aid organizations with the resources necessary to properly operate and provide legal aid. Social and cultural barriers such as stigma against and discrimination directed at marginalized groups, primarily women, can also limit uses of free legal aid services in India. </w:t>
      </w:r>
    </w:p>
    <w:p w14:paraId="45443723" w14:textId="77777777" w:rsidR="00077B02" w:rsidRPr="00A03CD6" w:rsidRDefault="00077B02"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Recommendations and Solutions for Addressing Free Legal Aid Challenges:</w:t>
      </w:r>
    </w:p>
    <w:p w14:paraId="68FEB9CA" w14:textId="348F04A0" w:rsidR="00077B02" w:rsidRPr="00077B02" w:rsidRDefault="00077B02" w:rsidP="005D4C14">
      <w:pPr>
        <w:spacing w:line="360" w:lineRule="auto"/>
        <w:jc w:val="both"/>
        <w:rPr>
          <w:rFonts w:ascii="Times New Roman" w:hAnsi="Times New Roman" w:cs="Times New Roman"/>
        </w:rPr>
      </w:pPr>
      <w:r w:rsidRPr="00077B02">
        <w:rPr>
          <w:rFonts w:ascii="Times New Roman" w:hAnsi="Times New Roman" w:cs="Times New Roman"/>
        </w:rPr>
        <w:t xml:space="preserve">Collaboration among NGOs, law firms and academic institutions can establish stronger outreach opportunities for free legal aid services. Provision of additional funding sources from the government, private and philanthropic entities will expand the capacity to provide free legal services. </w:t>
      </w:r>
    </w:p>
    <w:p w14:paraId="0F2A6BE7" w14:textId="2846ED01" w:rsidR="00077B02" w:rsidRPr="00A03CD6" w:rsidRDefault="00077B02" w:rsidP="005D4C14">
      <w:pPr>
        <w:spacing w:line="360" w:lineRule="auto"/>
        <w:jc w:val="both"/>
        <w:rPr>
          <w:rFonts w:ascii="Times New Roman" w:hAnsi="Times New Roman" w:cs="Times New Roman"/>
          <w:b/>
          <w:bCs/>
          <w:u w:val="single"/>
        </w:rPr>
      </w:pPr>
      <w:r w:rsidRPr="00A03CD6">
        <w:rPr>
          <w:rFonts w:ascii="Times New Roman" w:hAnsi="Times New Roman" w:cs="Times New Roman"/>
          <w:b/>
          <w:bCs/>
          <w:u w:val="single"/>
        </w:rPr>
        <w:t>Conclusion:</w:t>
      </w:r>
    </w:p>
    <w:p w14:paraId="4E0405B5" w14:textId="6ECF3083" w:rsidR="00077B02" w:rsidRPr="0049668B" w:rsidRDefault="00077B02" w:rsidP="005D4C14">
      <w:pPr>
        <w:spacing w:line="360" w:lineRule="auto"/>
        <w:jc w:val="both"/>
        <w:rPr>
          <w:rFonts w:ascii="Times New Roman" w:hAnsi="Times New Roman" w:cs="Times New Roman"/>
        </w:rPr>
      </w:pPr>
      <w:r w:rsidRPr="00077B02">
        <w:rPr>
          <w:rFonts w:ascii="Times New Roman" w:hAnsi="Times New Roman" w:cs="Times New Roman"/>
        </w:rPr>
        <w:t>Access to Free Legal Services is critical to Justice in India. Although the Legal Services Authorities Act (1987) created a framework for the provision of free legal aid to those who do not have the financial ability to retain counsel for legal representation, challenges exist to the success of legally providing the service, such as funding limitations, and geographic limitations. Addressing some of those challenges with increased funding, and improving access and understanding of free legal aid services will increase the ultimate benefit of free legal aid, and achieve equal access to justice regardless of gender or other marginalized factors.</w:t>
      </w:r>
    </w:p>
    <w:sectPr w:rsidR="00077B02" w:rsidRPr="0049668B" w:rsidSect="00A03CD6">
      <w:footerReference w:type="default" r:id="rId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7D0E9" w14:textId="77777777" w:rsidR="0086235A" w:rsidRDefault="0086235A" w:rsidP="005D4C14">
      <w:pPr>
        <w:spacing w:after="0" w:line="240" w:lineRule="auto"/>
      </w:pPr>
      <w:r>
        <w:separator/>
      </w:r>
    </w:p>
  </w:endnote>
  <w:endnote w:type="continuationSeparator" w:id="0">
    <w:p w14:paraId="36FB769E" w14:textId="77777777" w:rsidR="0086235A" w:rsidRDefault="0086235A" w:rsidP="005D4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033663"/>
      <w:docPartObj>
        <w:docPartGallery w:val="Page Numbers (Bottom of Page)"/>
        <w:docPartUnique/>
      </w:docPartObj>
    </w:sdtPr>
    <w:sdtContent>
      <w:p w14:paraId="630DD89B" w14:textId="20C76B10" w:rsidR="00A03CD6" w:rsidRDefault="00A03CD6">
        <w:pPr>
          <w:pStyle w:val="Footer"/>
          <w:jc w:val="center"/>
        </w:pPr>
        <w:r>
          <w:fldChar w:fldCharType="begin"/>
        </w:r>
        <w:r>
          <w:instrText>PAGE   \* MERGEFORMAT</w:instrText>
        </w:r>
        <w:r>
          <w:fldChar w:fldCharType="separate"/>
        </w:r>
        <w:r>
          <w:rPr>
            <w:lang w:val="en-GB"/>
          </w:rPr>
          <w:t>2</w:t>
        </w:r>
        <w:r>
          <w:fldChar w:fldCharType="end"/>
        </w:r>
      </w:p>
    </w:sdtContent>
  </w:sdt>
  <w:p w14:paraId="2F17270F" w14:textId="77777777" w:rsidR="00A03CD6" w:rsidRDefault="00A0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796A7" w14:textId="77777777" w:rsidR="0086235A" w:rsidRDefault="0086235A" w:rsidP="005D4C14">
      <w:pPr>
        <w:spacing w:after="0" w:line="240" w:lineRule="auto"/>
      </w:pPr>
      <w:r>
        <w:separator/>
      </w:r>
    </w:p>
  </w:footnote>
  <w:footnote w:type="continuationSeparator" w:id="0">
    <w:p w14:paraId="0C1D445B" w14:textId="77777777" w:rsidR="0086235A" w:rsidRDefault="0086235A" w:rsidP="005D4C14">
      <w:pPr>
        <w:spacing w:after="0" w:line="240" w:lineRule="auto"/>
      </w:pPr>
      <w:r>
        <w:continuationSeparator/>
      </w:r>
    </w:p>
  </w:footnote>
  <w:footnote w:id="1">
    <w:p w14:paraId="540353CB" w14:textId="24535FA1" w:rsidR="005D4C14" w:rsidRDefault="005D4C14">
      <w:pPr>
        <w:pStyle w:val="FootnoteText"/>
      </w:pPr>
      <w:r>
        <w:rPr>
          <w:rStyle w:val="FootnoteReference"/>
        </w:rPr>
        <w:footnoteRef/>
      </w:r>
      <w:r>
        <w:t xml:space="preserve"> </w:t>
      </w:r>
      <w:r w:rsidRPr="005D4C14">
        <w:rPr>
          <w:rFonts w:ascii="Times New Roman" w:hAnsi="Times New Roman" w:cs="Times New Roman"/>
        </w:rPr>
        <w:t>Legal Services Authorities Act 1987.</w:t>
      </w:r>
    </w:p>
  </w:footnote>
  <w:footnote w:id="2">
    <w:p w14:paraId="363CC27F" w14:textId="25EEB238"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Law Commission of India, </w:t>
      </w:r>
      <w:r w:rsidRPr="00672B85">
        <w:rPr>
          <w:rFonts w:ascii="Times New Roman" w:hAnsi="Times New Roman" w:cs="Times New Roman"/>
          <w:i/>
          <w:iCs/>
        </w:rPr>
        <w:t>Fourteenth Report on Reform of Judicial Administration</w:t>
      </w:r>
      <w:r w:rsidRPr="00672B85">
        <w:rPr>
          <w:rFonts w:ascii="Times New Roman" w:hAnsi="Times New Roman" w:cs="Times New Roman"/>
        </w:rPr>
        <w:t xml:space="preserve"> (1958).</w:t>
      </w:r>
    </w:p>
  </w:footnote>
  <w:footnote w:id="3">
    <w:p w14:paraId="619F2B1F" w14:textId="77777777" w:rsidR="00A03CD6" w:rsidRPr="00A03CD6" w:rsidRDefault="00A03CD6" w:rsidP="00A03CD6">
      <w:pPr>
        <w:pStyle w:val="FootnoteText"/>
        <w:rPr>
          <w:rFonts w:ascii="Times New Roman" w:hAnsi="Times New Roman" w:cs="Times New Roman"/>
        </w:rPr>
      </w:pPr>
      <w:r>
        <w:rPr>
          <w:rStyle w:val="FootnoteReference"/>
        </w:rPr>
        <w:footnoteRef/>
      </w:r>
      <w:r>
        <w:t xml:space="preserve"> </w:t>
      </w:r>
      <w:r w:rsidRPr="00A03CD6">
        <w:rPr>
          <w:rFonts w:ascii="Times New Roman" w:hAnsi="Times New Roman" w:cs="Times New Roman"/>
        </w:rPr>
        <w:t xml:space="preserve">Justice V R Krishna Iyer Committee Report on Legal Aid (1973). </w:t>
      </w:r>
    </w:p>
    <w:p w14:paraId="3FE388D0" w14:textId="32463D92" w:rsidR="00A03CD6" w:rsidRDefault="00A03CD6">
      <w:pPr>
        <w:pStyle w:val="FootnoteText"/>
      </w:pPr>
    </w:p>
  </w:footnote>
  <w:footnote w:id="4">
    <w:p w14:paraId="06278FB1" w14:textId="11F71AD4" w:rsidR="00672B85" w:rsidRPr="00A03CD6" w:rsidRDefault="00672B85">
      <w:pPr>
        <w:pStyle w:val="FootnoteText"/>
        <w:rPr>
          <w:rFonts w:ascii="Times New Roman" w:hAnsi="Times New Roman" w:cs="Times New Roman"/>
        </w:rPr>
      </w:pPr>
      <w:r>
        <w:rPr>
          <w:rStyle w:val="FootnoteReference"/>
        </w:rPr>
        <w:footnoteRef/>
      </w:r>
      <w:r>
        <w:t xml:space="preserve"> </w:t>
      </w:r>
      <w:r w:rsidR="00A03CD6" w:rsidRPr="00A03CD6">
        <w:rPr>
          <w:rFonts w:ascii="Times New Roman" w:hAnsi="Times New Roman" w:cs="Times New Roman"/>
        </w:rPr>
        <w:t>Code of Criminal Procedure 1973, s 304.</w:t>
      </w:r>
    </w:p>
  </w:footnote>
  <w:footnote w:id="5">
    <w:p w14:paraId="52BDAE4F" w14:textId="4543788E" w:rsidR="00672B85" w:rsidRDefault="00672B85">
      <w:pPr>
        <w:pStyle w:val="FootnoteText"/>
      </w:pPr>
      <w:r w:rsidRPr="00A03CD6">
        <w:rPr>
          <w:rStyle w:val="FootnoteReference"/>
          <w:rFonts w:ascii="Times New Roman" w:hAnsi="Times New Roman" w:cs="Times New Roman"/>
        </w:rPr>
        <w:footnoteRef/>
      </w:r>
      <w:r w:rsidRPr="00A03CD6">
        <w:rPr>
          <w:rFonts w:ascii="Times New Roman" w:hAnsi="Times New Roman" w:cs="Times New Roman"/>
        </w:rPr>
        <w:t xml:space="preserve"> </w:t>
      </w:r>
      <w:r w:rsidR="00A03CD6" w:rsidRPr="00A03CD6">
        <w:rPr>
          <w:rFonts w:ascii="Times New Roman" w:hAnsi="Times New Roman" w:cs="Times New Roman"/>
        </w:rPr>
        <w:t>Code of Civil Procedure 1908, Or XXXIII</w:t>
      </w:r>
      <w:r w:rsidR="00A03CD6">
        <w:rPr>
          <w:rFonts w:ascii="Times New Roman" w:hAnsi="Times New Roman" w:cs="Times New Roman"/>
        </w:rPr>
        <w:t>.</w:t>
      </w:r>
    </w:p>
  </w:footnote>
  <w:footnote w:id="6">
    <w:p w14:paraId="24706A3D" w14:textId="7FAD2E9D"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Constitution of India, art 39A.</w:t>
      </w:r>
    </w:p>
  </w:footnote>
  <w:footnote w:id="7">
    <w:p w14:paraId="4D9661C7" w14:textId="1D31EA55"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Constitution of India, art 14.</w:t>
      </w:r>
    </w:p>
  </w:footnote>
  <w:footnote w:id="8">
    <w:p w14:paraId="0A14FA70" w14:textId="61D853A2"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Constitution of India, art 21.</w:t>
      </w:r>
    </w:p>
  </w:footnote>
  <w:footnote w:id="9">
    <w:p w14:paraId="1E405965" w14:textId="28A0822E"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Constitution of India, art 22(1).</w:t>
      </w:r>
    </w:p>
  </w:footnote>
  <w:footnote w:id="10">
    <w:p w14:paraId="4D7D5946" w14:textId="0AD83355" w:rsidR="00672B85" w:rsidRPr="00672B85" w:rsidRDefault="00672B85">
      <w:pPr>
        <w:pStyle w:val="FootnoteText"/>
        <w:rPr>
          <w:rFonts w:ascii="Times New Roman" w:hAnsi="Times New Roman" w:cs="Times New Roman"/>
        </w:rPr>
      </w:pPr>
      <w:r w:rsidRPr="00672B85">
        <w:rPr>
          <w:rStyle w:val="FootnoteReference"/>
          <w:rFonts w:ascii="Times New Roman" w:hAnsi="Times New Roman" w:cs="Times New Roman"/>
        </w:rPr>
        <w:footnoteRef/>
      </w:r>
      <w:r w:rsidRPr="00672B85">
        <w:rPr>
          <w:rFonts w:ascii="Times New Roman" w:hAnsi="Times New Roman" w:cs="Times New Roman"/>
        </w:rPr>
        <w:t xml:space="preserve"> Constitution of India, art 17.</w:t>
      </w:r>
    </w:p>
  </w:footnote>
  <w:footnote w:id="11">
    <w:p w14:paraId="700DEF62" w14:textId="59055492" w:rsidR="00672B85" w:rsidRPr="00672B85" w:rsidRDefault="00672B85">
      <w:pPr>
        <w:pStyle w:val="FootnoteText"/>
        <w:rPr>
          <w:rFonts w:ascii="Times New Roman" w:hAnsi="Times New Roman" w:cs="Times New Roman"/>
        </w:rPr>
      </w:pPr>
      <w:r>
        <w:rPr>
          <w:rStyle w:val="FootnoteReference"/>
        </w:rPr>
        <w:footnoteRef/>
      </w:r>
      <w:r>
        <w:t xml:space="preserve"> </w:t>
      </w:r>
      <w:r w:rsidRPr="00672B85">
        <w:rPr>
          <w:rFonts w:ascii="Times New Roman" w:hAnsi="Times New Roman" w:cs="Times New Roman"/>
        </w:rPr>
        <w:t xml:space="preserve">Hussainara Khatoon and Ors. vs. Home Secretary, State of Bihar, Patna MANU/SC/0119/1979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21B"/>
    <w:multiLevelType w:val="multilevel"/>
    <w:tmpl w:val="05BA0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8557D"/>
    <w:multiLevelType w:val="hybridMultilevel"/>
    <w:tmpl w:val="0FBE5B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06218457">
    <w:abstractNumId w:val="1"/>
  </w:num>
  <w:num w:numId="2" w16cid:durableId="2061704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68B"/>
    <w:rsid w:val="00077B02"/>
    <w:rsid w:val="00096C2F"/>
    <w:rsid w:val="001859AA"/>
    <w:rsid w:val="00202EEF"/>
    <w:rsid w:val="002A49B5"/>
    <w:rsid w:val="002C3F6D"/>
    <w:rsid w:val="00317B18"/>
    <w:rsid w:val="0049668B"/>
    <w:rsid w:val="004B7D01"/>
    <w:rsid w:val="00540ECF"/>
    <w:rsid w:val="005D4C14"/>
    <w:rsid w:val="00672B85"/>
    <w:rsid w:val="00690C0B"/>
    <w:rsid w:val="0086235A"/>
    <w:rsid w:val="00A03CD6"/>
    <w:rsid w:val="00A16D7E"/>
    <w:rsid w:val="00A67DC8"/>
    <w:rsid w:val="00AE78C4"/>
    <w:rsid w:val="00BD71DC"/>
    <w:rsid w:val="00C176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D8F17"/>
  <w15:chartTrackingRefBased/>
  <w15:docId w15:val="{7AFC03D6-7763-4D40-AA69-622043B1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6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6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66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66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66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66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66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66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66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66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66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66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66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66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66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66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66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668B"/>
    <w:rPr>
      <w:rFonts w:eastAsiaTheme="majorEastAsia" w:cstheme="majorBidi"/>
      <w:color w:val="272727" w:themeColor="text1" w:themeTint="D8"/>
    </w:rPr>
  </w:style>
  <w:style w:type="paragraph" w:styleId="Title">
    <w:name w:val="Title"/>
    <w:basedOn w:val="Normal"/>
    <w:next w:val="Normal"/>
    <w:link w:val="TitleChar"/>
    <w:uiPriority w:val="10"/>
    <w:qFormat/>
    <w:rsid w:val="00496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66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66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66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668B"/>
    <w:pPr>
      <w:spacing w:before="160"/>
      <w:jc w:val="center"/>
    </w:pPr>
    <w:rPr>
      <w:i/>
      <w:iCs/>
      <w:color w:val="404040" w:themeColor="text1" w:themeTint="BF"/>
    </w:rPr>
  </w:style>
  <w:style w:type="character" w:customStyle="1" w:styleId="QuoteChar">
    <w:name w:val="Quote Char"/>
    <w:basedOn w:val="DefaultParagraphFont"/>
    <w:link w:val="Quote"/>
    <w:uiPriority w:val="29"/>
    <w:rsid w:val="0049668B"/>
    <w:rPr>
      <w:i/>
      <w:iCs/>
      <w:color w:val="404040" w:themeColor="text1" w:themeTint="BF"/>
    </w:rPr>
  </w:style>
  <w:style w:type="paragraph" w:styleId="ListParagraph">
    <w:name w:val="List Paragraph"/>
    <w:basedOn w:val="Normal"/>
    <w:uiPriority w:val="34"/>
    <w:qFormat/>
    <w:rsid w:val="0049668B"/>
    <w:pPr>
      <w:ind w:left="720"/>
      <w:contextualSpacing/>
    </w:pPr>
  </w:style>
  <w:style w:type="character" w:styleId="IntenseEmphasis">
    <w:name w:val="Intense Emphasis"/>
    <w:basedOn w:val="DefaultParagraphFont"/>
    <w:uiPriority w:val="21"/>
    <w:qFormat/>
    <w:rsid w:val="0049668B"/>
    <w:rPr>
      <w:i/>
      <w:iCs/>
      <w:color w:val="0F4761" w:themeColor="accent1" w:themeShade="BF"/>
    </w:rPr>
  </w:style>
  <w:style w:type="paragraph" w:styleId="IntenseQuote">
    <w:name w:val="Intense Quote"/>
    <w:basedOn w:val="Normal"/>
    <w:next w:val="Normal"/>
    <w:link w:val="IntenseQuoteChar"/>
    <w:uiPriority w:val="30"/>
    <w:qFormat/>
    <w:rsid w:val="00496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668B"/>
    <w:rPr>
      <w:i/>
      <w:iCs/>
      <w:color w:val="0F4761" w:themeColor="accent1" w:themeShade="BF"/>
    </w:rPr>
  </w:style>
  <w:style w:type="character" w:styleId="IntenseReference">
    <w:name w:val="Intense Reference"/>
    <w:basedOn w:val="DefaultParagraphFont"/>
    <w:uiPriority w:val="32"/>
    <w:qFormat/>
    <w:rsid w:val="0049668B"/>
    <w:rPr>
      <w:b/>
      <w:bCs/>
      <w:smallCaps/>
      <w:color w:val="0F4761" w:themeColor="accent1" w:themeShade="BF"/>
      <w:spacing w:val="5"/>
    </w:rPr>
  </w:style>
  <w:style w:type="paragraph" w:styleId="FootnoteText">
    <w:name w:val="footnote text"/>
    <w:basedOn w:val="Normal"/>
    <w:link w:val="FootnoteTextChar"/>
    <w:uiPriority w:val="99"/>
    <w:semiHidden/>
    <w:unhideWhenUsed/>
    <w:rsid w:val="005D4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4C14"/>
    <w:rPr>
      <w:sz w:val="20"/>
      <w:szCs w:val="20"/>
    </w:rPr>
  </w:style>
  <w:style w:type="character" w:styleId="FootnoteReference">
    <w:name w:val="footnote reference"/>
    <w:basedOn w:val="DefaultParagraphFont"/>
    <w:uiPriority w:val="99"/>
    <w:semiHidden/>
    <w:unhideWhenUsed/>
    <w:rsid w:val="005D4C14"/>
    <w:rPr>
      <w:vertAlign w:val="superscript"/>
    </w:rPr>
  </w:style>
  <w:style w:type="paragraph" w:styleId="Header">
    <w:name w:val="header"/>
    <w:basedOn w:val="Normal"/>
    <w:link w:val="HeaderChar"/>
    <w:uiPriority w:val="99"/>
    <w:unhideWhenUsed/>
    <w:rsid w:val="00A03C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CD6"/>
  </w:style>
  <w:style w:type="paragraph" w:styleId="Footer">
    <w:name w:val="footer"/>
    <w:basedOn w:val="Normal"/>
    <w:link w:val="FooterChar"/>
    <w:uiPriority w:val="99"/>
    <w:unhideWhenUsed/>
    <w:rsid w:val="00A03C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Nanditha Gujarathi</dc:creator>
  <cp:keywords/>
  <dc:description/>
  <cp:lastModifiedBy>Nanditha Gujarathi</cp:lastModifiedBy>
  <cp:revision>2</cp:revision>
  <dcterms:created xsi:type="dcterms:W3CDTF">2026-06-15T17:08:00Z</dcterms:created>
  <dcterms:modified xsi:type="dcterms:W3CDTF">2026-06-15T17:08:00Z</dcterms:modified>
</cp:coreProperties>
</file>