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AF01B" w14:textId="77777777" w:rsidR="00387E2B" w:rsidRPr="00424444" w:rsidRDefault="00387E2B" w:rsidP="00424444">
      <w:pPr>
        <w:spacing w:line="360" w:lineRule="auto"/>
        <w:jc w:val="center"/>
        <w:rPr>
          <w:rFonts w:ascii="Times New Roman" w:hAnsi="Times New Roman" w:cs="Times New Roman"/>
          <w:b/>
          <w:bCs/>
          <w:sz w:val="28"/>
          <w:szCs w:val="28"/>
        </w:rPr>
      </w:pPr>
      <w:r w:rsidRPr="00424444">
        <w:rPr>
          <w:rFonts w:ascii="Times New Roman" w:hAnsi="Times New Roman" w:cs="Times New Roman"/>
          <w:b/>
          <w:bCs/>
          <w:sz w:val="28"/>
          <w:szCs w:val="28"/>
        </w:rPr>
        <w:t>Bridgeport Music, Inc. v. Dimension Films (M.D. Tenn. 2002): Copyright in Music Sampling and Remix Culture</w:t>
      </w:r>
    </w:p>
    <w:p w14:paraId="27A0004A" w14:textId="57B6527D" w:rsidR="00DF049B" w:rsidRPr="00424444" w:rsidRDefault="00DF049B" w:rsidP="00424444">
      <w:pPr>
        <w:spacing w:line="360" w:lineRule="auto"/>
        <w:ind w:left="5760" w:firstLine="720"/>
        <w:jc w:val="center"/>
        <w:rPr>
          <w:rFonts w:ascii="Times New Roman" w:hAnsi="Times New Roman" w:cs="Times New Roman"/>
          <w:sz w:val="28"/>
          <w:szCs w:val="28"/>
        </w:rPr>
      </w:pPr>
      <w:r w:rsidRPr="00424444">
        <w:rPr>
          <w:rFonts w:ascii="Times New Roman" w:hAnsi="Times New Roman" w:cs="Times New Roman"/>
          <w:sz w:val="28"/>
          <w:szCs w:val="28"/>
        </w:rPr>
        <w:t xml:space="preserve">By </w:t>
      </w:r>
      <w:r w:rsidR="00424444" w:rsidRPr="00424444">
        <w:rPr>
          <w:rFonts w:ascii="Times New Roman" w:hAnsi="Times New Roman" w:cs="Times New Roman"/>
          <w:sz w:val="28"/>
          <w:szCs w:val="28"/>
        </w:rPr>
        <w:t>Author</w:t>
      </w:r>
      <w:r w:rsidR="00424444">
        <w:rPr>
          <w:rStyle w:val="FootnoteReference"/>
          <w:rFonts w:ascii="Times New Roman" w:hAnsi="Times New Roman" w:cs="Times New Roman"/>
          <w:sz w:val="28"/>
          <w:szCs w:val="28"/>
        </w:rPr>
        <w:footnoteReference w:id="1"/>
      </w:r>
    </w:p>
    <w:p w14:paraId="4579E64B" w14:textId="18854CEA" w:rsidR="00387E2B" w:rsidRPr="00424444" w:rsidRDefault="00387E2B" w:rsidP="00424444">
      <w:pPr>
        <w:spacing w:line="360" w:lineRule="auto"/>
        <w:jc w:val="both"/>
        <w:rPr>
          <w:rFonts w:ascii="Times New Roman" w:hAnsi="Times New Roman" w:cs="Times New Roman"/>
          <w:b/>
          <w:bCs/>
          <w:sz w:val="28"/>
          <w:szCs w:val="28"/>
        </w:rPr>
      </w:pPr>
      <w:r w:rsidRPr="00424444">
        <w:rPr>
          <w:rFonts w:ascii="Times New Roman" w:hAnsi="Times New Roman" w:cs="Times New Roman"/>
          <w:b/>
          <w:bCs/>
          <w:sz w:val="28"/>
          <w:szCs w:val="28"/>
        </w:rPr>
        <w:t xml:space="preserve">Introduction </w:t>
      </w:r>
    </w:p>
    <w:p w14:paraId="3264F3E3" w14:textId="18BFC210" w:rsidR="00387E2B" w:rsidRPr="00424444" w:rsidRDefault="00834C5C" w:rsidP="00424444">
      <w:pPr>
        <w:spacing w:line="360" w:lineRule="auto"/>
        <w:jc w:val="both"/>
        <w:rPr>
          <w:rFonts w:ascii="Times New Roman" w:hAnsi="Times New Roman" w:cs="Times New Roman"/>
          <w:sz w:val="28"/>
          <w:szCs w:val="28"/>
        </w:rPr>
      </w:pPr>
      <w:r w:rsidRPr="00424444">
        <w:rPr>
          <w:rFonts w:ascii="Times New Roman" w:hAnsi="Times New Roman" w:cs="Times New Roman"/>
          <w:sz w:val="28"/>
          <w:szCs w:val="28"/>
        </w:rPr>
        <w:t xml:space="preserve">The landmark case of Bridgeport Music, Inc. v. Dimension Films discusses copyright infringement in digital music sampling. It came at an emerging period when the music industry was increasingly using digital sampling as an artistic tool with hip-hop, rap and </w:t>
      </w:r>
      <w:r w:rsidR="00405AAB" w:rsidRPr="00424444">
        <w:rPr>
          <w:rFonts w:ascii="Times New Roman" w:hAnsi="Times New Roman" w:cs="Times New Roman"/>
          <w:sz w:val="28"/>
          <w:szCs w:val="28"/>
        </w:rPr>
        <w:t xml:space="preserve">the developing </w:t>
      </w:r>
      <w:r w:rsidRPr="00424444">
        <w:rPr>
          <w:rFonts w:ascii="Times New Roman" w:hAnsi="Times New Roman" w:cs="Times New Roman"/>
          <w:sz w:val="28"/>
          <w:szCs w:val="28"/>
        </w:rPr>
        <w:t xml:space="preserve">remix culture. </w:t>
      </w:r>
      <w:r w:rsidR="00405AAB" w:rsidRPr="00424444">
        <w:rPr>
          <w:rFonts w:ascii="Times New Roman" w:hAnsi="Times New Roman" w:cs="Times New Roman"/>
          <w:sz w:val="28"/>
          <w:szCs w:val="28"/>
        </w:rPr>
        <w:t xml:space="preserve">This dispute began when a short segment of guitar, from “Get Off Your Ass and Jam”, was sampled in the rap song </w:t>
      </w:r>
      <w:r w:rsidR="00424444" w:rsidRPr="00424444">
        <w:rPr>
          <w:rFonts w:ascii="Times New Roman" w:hAnsi="Times New Roman" w:cs="Times New Roman"/>
          <w:sz w:val="28"/>
          <w:szCs w:val="28"/>
        </w:rPr>
        <w:t>“100</w:t>
      </w:r>
      <w:r w:rsidR="00405AAB" w:rsidRPr="00424444">
        <w:rPr>
          <w:rFonts w:ascii="Times New Roman" w:hAnsi="Times New Roman" w:cs="Times New Roman"/>
          <w:sz w:val="28"/>
          <w:szCs w:val="28"/>
        </w:rPr>
        <w:t xml:space="preserve"> Miles and </w:t>
      </w:r>
      <w:r w:rsidR="00424444" w:rsidRPr="00424444">
        <w:rPr>
          <w:rFonts w:ascii="Times New Roman" w:hAnsi="Times New Roman" w:cs="Times New Roman"/>
          <w:sz w:val="28"/>
          <w:szCs w:val="28"/>
        </w:rPr>
        <w:t>Running</w:t>
      </w:r>
      <w:r w:rsidR="00405AAB" w:rsidRPr="00424444">
        <w:rPr>
          <w:rFonts w:ascii="Times New Roman" w:hAnsi="Times New Roman" w:cs="Times New Roman"/>
          <w:sz w:val="28"/>
          <w:szCs w:val="28"/>
        </w:rPr>
        <w:t xml:space="preserve">’”, without permission, featuring in the film ‘I Got the Hook Up’. The case addressed critical legal issues concerning licensing in music sampling, fair use and copyright protection. The ruling of the Court is significant for balancing the creative artistic expression with copyright enforcement, in the changing digital music landscape. </w:t>
      </w:r>
    </w:p>
    <w:p w14:paraId="65ED24B4" w14:textId="01373213" w:rsidR="00387E2B" w:rsidRPr="00424444" w:rsidRDefault="00387E2B" w:rsidP="00424444">
      <w:pPr>
        <w:spacing w:line="360" w:lineRule="auto"/>
        <w:jc w:val="both"/>
        <w:rPr>
          <w:rFonts w:ascii="Times New Roman" w:hAnsi="Times New Roman" w:cs="Times New Roman"/>
          <w:b/>
          <w:bCs/>
          <w:sz w:val="28"/>
          <w:szCs w:val="28"/>
        </w:rPr>
      </w:pPr>
      <w:r w:rsidRPr="00424444">
        <w:rPr>
          <w:rFonts w:ascii="Times New Roman" w:hAnsi="Times New Roman" w:cs="Times New Roman"/>
          <w:b/>
          <w:bCs/>
          <w:sz w:val="28"/>
          <w:szCs w:val="28"/>
        </w:rPr>
        <w:t xml:space="preserve">Facts of the Case </w:t>
      </w:r>
    </w:p>
    <w:p w14:paraId="2DF8CA1C" w14:textId="3C56A1DA" w:rsidR="005A350F" w:rsidRPr="00424444" w:rsidRDefault="005A350F" w:rsidP="00424444">
      <w:pPr>
        <w:spacing w:line="360" w:lineRule="auto"/>
        <w:jc w:val="both"/>
        <w:rPr>
          <w:rFonts w:ascii="Times New Roman" w:hAnsi="Times New Roman" w:cs="Times New Roman"/>
          <w:sz w:val="28"/>
          <w:szCs w:val="28"/>
        </w:rPr>
      </w:pPr>
      <w:r w:rsidRPr="00424444">
        <w:rPr>
          <w:rFonts w:ascii="Times New Roman" w:hAnsi="Times New Roman" w:cs="Times New Roman"/>
          <w:sz w:val="28"/>
          <w:szCs w:val="28"/>
        </w:rPr>
        <w:t xml:space="preserve">Bridgeport Music, Inc. and Westbound Records, the plaintiffs, held rights to the musical composition and sound recording of “Get Off Your Ass and Jam”, which is linked to Musician George Clinton. The defendants included Dimension Films and No Limit Films, the producers and distributors of ‘I Got the Hook Up’, respectively. </w:t>
      </w:r>
    </w:p>
    <w:p w14:paraId="2DB0220B" w14:textId="745F64D3" w:rsidR="005A350F" w:rsidRPr="00424444" w:rsidRDefault="005A350F" w:rsidP="00424444">
      <w:pPr>
        <w:spacing w:line="360" w:lineRule="auto"/>
        <w:jc w:val="both"/>
        <w:rPr>
          <w:rFonts w:ascii="Times New Roman" w:hAnsi="Times New Roman" w:cs="Times New Roman"/>
          <w:sz w:val="28"/>
          <w:szCs w:val="28"/>
        </w:rPr>
      </w:pPr>
      <w:r w:rsidRPr="00424444">
        <w:rPr>
          <w:rFonts w:ascii="Times New Roman" w:hAnsi="Times New Roman" w:cs="Times New Roman"/>
          <w:sz w:val="28"/>
          <w:szCs w:val="28"/>
        </w:rPr>
        <w:t xml:space="preserve">The conflict, in the present case, arose because the film’s soundtrack included the rap song </w:t>
      </w:r>
      <w:r w:rsidR="00424444" w:rsidRPr="00424444">
        <w:rPr>
          <w:rFonts w:ascii="Times New Roman" w:hAnsi="Times New Roman" w:cs="Times New Roman"/>
          <w:sz w:val="28"/>
          <w:szCs w:val="28"/>
        </w:rPr>
        <w:t>“100</w:t>
      </w:r>
      <w:r w:rsidRPr="00424444">
        <w:rPr>
          <w:rFonts w:ascii="Times New Roman" w:hAnsi="Times New Roman" w:cs="Times New Roman"/>
          <w:sz w:val="28"/>
          <w:szCs w:val="28"/>
        </w:rPr>
        <w:t xml:space="preserve"> Miles and </w:t>
      </w:r>
      <w:r w:rsidR="00424444" w:rsidRPr="00424444">
        <w:rPr>
          <w:rFonts w:ascii="Times New Roman" w:hAnsi="Times New Roman" w:cs="Times New Roman"/>
          <w:sz w:val="28"/>
          <w:szCs w:val="28"/>
        </w:rPr>
        <w:t>Running’”</w:t>
      </w:r>
      <w:r w:rsidRPr="00424444">
        <w:rPr>
          <w:rFonts w:ascii="Times New Roman" w:hAnsi="Times New Roman" w:cs="Times New Roman"/>
          <w:sz w:val="28"/>
          <w:szCs w:val="28"/>
        </w:rPr>
        <w:t xml:space="preserve">, which used a digitally sampled, two-second, guitar chord from “Get Off Your Ass and Jam”. </w:t>
      </w:r>
      <w:r w:rsidR="00A11740" w:rsidRPr="00424444">
        <w:rPr>
          <w:rFonts w:ascii="Times New Roman" w:hAnsi="Times New Roman" w:cs="Times New Roman"/>
          <w:sz w:val="28"/>
          <w:szCs w:val="28"/>
        </w:rPr>
        <w:t xml:space="preserve">It featured a three-note guitar chord being repetitively used several times in the song. </w:t>
      </w:r>
    </w:p>
    <w:p w14:paraId="267C4E6D" w14:textId="30280051" w:rsidR="00A11740" w:rsidRPr="00424444" w:rsidRDefault="00A11740" w:rsidP="00424444">
      <w:pPr>
        <w:spacing w:line="360" w:lineRule="auto"/>
        <w:jc w:val="both"/>
        <w:rPr>
          <w:rFonts w:ascii="Times New Roman" w:hAnsi="Times New Roman" w:cs="Times New Roman"/>
          <w:sz w:val="28"/>
          <w:szCs w:val="28"/>
        </w:rPr>
      </w:pPr>
      <w:r w:rsidRPr="00424444">
        <w:rPr>
          <w:rFonts w:ascii="Times New Roman" w:hAnsi="Times New Roman" w:cs="Times New Roman"/>
          <w:sz w:val="28"/>
          <w:szCs w:val="28"/>
        </w:rPr>
        <w:lastRenderedPageBreak/>
        <w:t xml:space="preserve">Bridgeport received a 25% ownership stake in the composition of </w:t>
      </w:r>
      <w:r w:rsidR="00424444" w:rsidRPr="00424444">
        <w:rPr>
          <w:rFonts w:ascii="Times New Roman" w:hAnsi="Times New Roman" w:cs="Times New Roman"/>
          <w:sz w:val="28"/>
          <w:szCs w:val="28"/>
        </w:rPr>
        <w:t>“100</w:t>
      </w:r>
      <w:r w:rsidRPr="00424444">
        <w:rPr>
          <w:rFonts w:ascii="Times New Roman" w:hAnsi="Times New Roman" w:cs="Times New Roman"/>
          <w:sz w:val="28"/>
          <w:szCs w:val="28"/>
        </w:rPr>
        <w:t xml:space="preserve"> Miles and </w:t>
      </w:r>
      <w:r w:rsidR="00424444" w:rsidRPr="00424444">
        <w:rPr>
          <w:rFonts w:ascii="Times New Roman" w:hAnsi="Times New Roman" w:cs="Times New Roman"/>
          <w:sz w:val="28"/>
          <w:szCs w:val="28"/>
        </w:rPr>
        <w:t>Running’”</w:t>
      </w:r>
      <w:r w:rsidRPr="00424444">
        <w:rPr>
          <w:rFonts w:ascii="Times New Roman" w:hAnsi="Times New Roman" w:cs="Times New Roman"/>
          <w:sz w:val="28"/>
          <w:szCs w:val="28"/>
        </w:rPr>
        <w:t xml:space="preserve"> as payment for the use of the sample. The defendants argued that they had a valid oral, as well as, written licenses from co-owners of </w:t>
      </w:r>
      <w:r w:rsidR="00424444" w:rsidRPr="00424444">
        <w:rPr>
          <w:rFonts w:ascii="Times New Roman" w:hAnsi="Times New Roman" w:cs="Times New Roman"/>
          <w:sz w:val="28"/>
          <w:szCs w:val="28"/>
        </w:rPr>
        <w:t>“100</w:t>
      </w:r>
      <w:r w:rsidRPr="00424444">
        <w:rPr>
          <w:rFonts w:ascii="Times New Roman" w:hAnsi="Times New Roman" w:cs="Times New Roman"/>
          <w:sz w:val="28"/>
          <w:szCs w:val="28"/>
        </w:rPr>
        <w:t xml:space="preserve"> Miles and </w:t>
      </w:r>
      <w:r w:rsidR="00424444" w:rsidRPr="00424444">
        <w:rPr>
          <w:rFonts w:ascii="Times New Roman" w:hAnsi="Times New Roman" w:cs="Times New Roman"/>
          <w:sz w:val="28"/>
          <w:szCs w:val="28"/>
        </w:rPr>
        <w:t>Running’”</w:t>
      </w:r>
      <w:r w:rsidRPr="00424444">
        <w:rPr>
          <w:rFonts w:ascii="Times New Roman" w:hAnsi="Times New Roman" w:cs="Times New Roman"/>
          <w:sz w:val="28"/>
          <w:szCs w:val="28"/>
        </w:rPr>
        <w:t xml:space="preserve"> that allowed them to use the composition in their film. However, the plaintiffs </w:t>
      </w:r>
      <w:r w:rsidR="00424444" w:rsidRPr="00424444">
        <w:rPr>
          <w:rFonts w:ascii="Times New Roman" w:hAnsi="Times New Roman" w:cs="Times New Roman"/>
          <w:sz w:val="28"/>
          <w:szCs w:val="28"/>
        </w:rPr>
        <w:t>argue</w:t>
      </w:r>
      <w:r w:rsidRPr="00424444">
        <w:rPr>
          <w:rFonts w:ascii="Times New Roman" w:hAnsi="Times New Roman" w:cs="Times New Roman"/>
          <w:sz w:val="28"/>
          <w:szCs w:val="28"/>
        </w:rPr>
        <w:t xml:space="preserve"> that the said licenses did not authorize </w:t>
      </w:r>
      <w:r w:rsidR="004D1207" w:rsidRPr="00424444">
        <w:rPr>
          <w:rFonts w:ascii="Times New Roman" w:hAnsi="Times New Roman" w:cs="Times New Roman"/>
          <w:sz w:val="28"/>
          <w:szCs w:val="28"/>
        </w:rPr>
        <w:t xml:space="preserve">the use of Bridgeport’s ownership stake or the sample material from “Get Off Your Ass and Jam”. </w:t>
      </w:r>
    </w:p>
    <w:p w14:paraId="471EAEF7" w14:textId="09A0FEFE" w:rsidR="00387E2B" w:rsidRPr="00424444" w:rsidRDefault="004D1207" w:rsidP="00424444">
      <w:pPr>
        <w:spacing w:line="360" w:lineRule="auto"/>
        <w:jc w:val="both"/>
        <w:rPr>
          <w:rFonts w:ascii="Times New Roman" w:hAnsi="Times New Roman" w:cs="Times New Roman"/>
          <w:sz w:val="28"/>
          <w:szCs w:val="28"/>
        </w:rPr>
      </w:pPr>
      <w:r w:rsidRPr="00424444">
        <w:rPr>
          <w:rFonts w:ascii="Times New Roman" w:hAnsi="Times New Roman" w:cs="Times New Roman"/>
          <w:sz w:val="28"/>
          <w:szCs w:val="28"/>
        </w:rPr>
        <w:t xml:space="preserve">Westbound Records also claimed infringement of the sound recording copyright in “Get Off Your Ass and Jam”, arguing the unauthorized digital copying of the sample, amounting to copyright violation. </w:t>
      </w:r>
    </w:p>
    <w:p w14:paraId="7F2B0BA0" w14:textId="77777777" w:rsidR="00387E2B" w:rsidRPr="00424444" w:rsidRDefault="00387E2B" w:rsidP="00424444">
      <w:pPr>
        <w:spacing w:line="360" w:lineRule="auto"/>
        <w:jc w:val="both"/>
        <w:rPr>
          <w:rFonts w:ascii="Times New Roman" w:hAnsi="Times New Roman" w:cs="Times New Roman"/>
          <w:b/>
          <w:bCs/>
          <w:sz w:val="28"/>
          <w:szCs w:val="28"/>
        </w:rPr>
      </w:pPr>
      <w:r w:rsidRPr="00424444">
        <w:rPr>
          <w:rFonts w:ascii="Times New Roman" w:hAnsi="Times New Roman" w:cs="Times New Roman"/>
          <w:b/>
          <w:bCs/>
          <w:sz w:val="28"/>
          <w:szCs w:val="28"/>
        </w:rPr>
        <w:t>Issues Before the Court</w:t>
      </w:r>
    </w:p>
    <w:p w14:paraId="13D5A34F" w14:textId="78A53F67" w:rsidR="00F22A04" w:rsidRPr="00424444" w:rsidRDefault="005A350F" w:rsidP="00424444">
      <w:pPr>
        <w:spacing w:line="360" w:lineRule="auto"/>
        <w:jc w:val="both"/>
        <w:rPr>
          <w:rFonts w:ascii="Times New Roman" w:hAnsi="Times New Roman" w:cs="Times New Roman"/>
          <w:sz w:val="28"/>
          <w:szCs w:val="28"/>
        </w:rPr>
      </w:pPr>
      <w:r w:rsidRPr="00424444">
        <w:rPr>
          <w:rFonts w:ascii="Times New Roman" w:hAnsi="Times New Roman" w:cs="Times New Roman"/>
          <w:sz w:val="28"/>
          <w:szCs w:val="28"/>
        </w:rPr>
        <w:t xml:space="preserve">The Court considered the following legal points to be determined in this case: </w:t>
      </w:r>
    </w:p>
    <w:p w14:paraId="686A8587" w14:textId="7000E4E1" w:rsidR="005A350F" w:rsidRPr="00424444" w:rsidRDefault="005A350F" w:rsidP="00424444">
      <w:pPr>
        <w:numPr>
          <w:ilvl w:val="0"/>
          <w:numId w:val="3"/>
        </w:numPr>
        <w:spacing w:line="360" w:lineRule="auto"/>
        <w:jc w:val="both"/>
        <w:rPr>
          <w:rFonts w:ascii="Times New Roman" w:hAnsi="Times New Roman" w:cs="Times New Roman"/>
          <w:sz w:val="28"/>
          <w:szCs w:val="28"/>
        </w:rPr>
      </w:pPr>
      <w:r w:rsidRPr="00424444">
        <w:rPr>
          <w:rFonts w:ascii="Times New Roman" w:hAnsi="Times New Roman" w:cs="Times New Roman"/>
          <w:sz w:val="28"/>
          <w:szCs w:val="28"/>
        </w:rPr>
        <w:t xml:space="preserve">Is there a valid license with the defendant, allowing them the use of the composition </w:t>
      </w:r>
      <w:r w:rsidR="00424444" w:rsidRPr="00424444">
        <w:rPr>
          <w:rFonts w:ascii="Times New Roman" w:hAnsi="Times New Roman" w:cs="Times New Roman"/>
          <w:sz w:val="28"/>
          <w:szCs w:val="28"/>
        </w:rPr>
        <w:t>“100</w:t>
      </w:r>
      <w:r w:rsidRPr="00424444">
        <w:rPr>
          <w:rFonts w:ascii="Times New Roman" w:hAnsi="Times New Roman" w:cs="Times New Roman"/>
          <w:sz w:val="28"/>
          <w:szCs w:val="28"/>
        </w:rPr>
        <w:t xml:space="preserve"> Miles and </w:t>
      </w:r>
      <w:r w:rsidR="00424444" w:rsidRPr="00424444">
        <w:rPr>
          <w:rFonts w:ascii="Times New Roman" w:hAnsi="Times New Roman" w:cs="Times New Roman"/>
          <w:sz w:val="28"/>
          <w:szCs w:val="28"/>
        </w:rPr>
        <w:t>Running’”?</w:t>
      </w:r>
      <w:r w:rsidRPr="00424444">
        <w:rPr>
          <w:rFonts w:ascii="Times New Roman" w:hAnsi="Times New Roman" w:cs="Times New Roman"/>
          <w:sz w:val="28"/>
          <w:szCs w:val="28"/>
        </w:rPr>
        <w:t xml:space="preserve"> </w:t>
      </w:r>
    </w:p>
    <w:p w14:paraId="7D6062CB" w14:textId="6F304DB6" w:rsidR="005A350F" w:rsidRPr="00424444" w:rsidRDefault="004D1207" w:rsidP="00424444">
      <w:pPr>
        <w:numPr>
          <w:ilvl w:val="0"/>
          <w:numId w:val="3"/>
        </w:numPr>
        <w:spacing w:line="360" w:lineRule="auto"/>
        <w:jc w:val="both"/>
        <w:rPr>
          <w:rFonts w:ascii="Times New Roman" w:hAnsi="Times New Roman" w:cs="Times New Roman"/>
          <w:sz w:val="28"/>
          <w:szCs w:val="28"/>
        </w:rPr>
      </w:pPr>
      <w:r w:rsidRPr="00424444">
        <w:rPr>
          <w:rFonts w:ascii="Times New Roman" w:hAnsi="Times New Roman" w:cs="Times New Roman"/>
          <w:sz w:val="28"/>
          <w:szCs w:val="28"/>
        </w:rPr>
        <w:t xml:space="preserve">Does the release and Agreement, signed by Bridgeport, prevent future infringement claims? </w:t>
      </w:r>
    </w:p>
    <w:p w14:paraId="05E6DC87" w14:textId="1D43C65B" w:rsidR="00F22A04" w:rsidRPr="00424444" w:rsidRDefault="004D1207" w:rsidP="00424444">
      <w:pPr>
        <w:numPr>
          <w:ilvl w:val="0"/>
          <w:numId w:val="3"/>
        </w:numPr>
        <w:spacing w:line="360" w:lineRule="auto"/>
        <w:jc w:val="both"/>
        <w:rPr>
          <w:rFonts w:ascii="Times New Roman" w:hAnsi="Times New Roman" w:cs="Times New Roman"/>
          <w:sz w:val="28"/>
          <w:szCs w:val="28"/>
        </w:rPr>
      </w:pPr>
      <w:r w:rsidRPr="00424444">
        <w:rPr>
          <w:rFonts w:ascii="Times New Roman" w:hAnsi="Times New Roman" w:cs="Times New Roman"/>
          <w:sz w:val="28"/>
          <w:szCs w:val="28"/>
        </w:rPr>
        <w:t>Was the sampled part from “Get Off Your Ass and Jam</w:t>
      </w:r>
      <w:r w:rsidR="00424444" w:rsidRPr="00424444">
        <w:rPr>
          <w:rFonts w:ascii="Times New Roman" w:hAnsi="Times New Roman" w:cs="Times New Roman"/>
          <w:sz w:val="28"/>
          <w:szCs w:val="28"/>
        </w:rPr>
        <w:t>”,</w:t>
      </w:r>
      <w:r w:rsidRPr="00424444">
        <w:rPr>
          <w:rFonts w:ascii="Times New Roman" w:hAnsi="Times New Roman" w:cs="Times New Roman"/>
          <w:sz w:val="28"/>
          <w:szCs w:val="28"/>
        </w:rPr>
        <w:t xml:space="preserve"> original enough to receive copyright protection? </w:t>
      </w:r>
    </w:p>
    <w:p w14:paraId="10986C4D" w14:textId="78F96442" w:rsidR="00F22A04" w:rsidRPr="00424444" w:rsidRDefault="004D1207" w:rsidP="00424444">
      <w:pPr>
        <w:numPr>
          <w:ilvl w:val="0"/>
          <w:numId w:val="3"/>
        </w:numPr>
        <w:spacing w:line="360" w:lineRule="auto"/>
        <w:jc w:val="both"/>
        <w:rPr>
          <w:rFonts w:ascii="Times New Roman" w:hAnsi="Times New Roman" w:cs="Times New Roman"/>
          <w:sz w:val="28"/>
          <w:szCs w:val="28"/>
        </w:rPr>
      </w:pPr>
      <w:r w:rsidRPr="00424444">
        <w:rPr>
          <w:rFonts w:ascii="Times New Roman" w:hAnsi="Times New Roman" w:cs="Times New Roman"/>
          <w:sz w:val="28"/>
          <w:szCs w:val="28"/>
        </w:rPr>
        <w:t xml:space="preserve">Was the sampled portion a minor use, not amounting to be a subject of copyright law? </w:t>
      </w:r>
      <w:r w:rsidR="00F22A04" w:rsidRPr="00424444">
        <w:rPr>
          <w:rFonts w:ascii="Times New Roman" w:hAnsi="Times New Roman" w:cs="Times New Roman"/>
          <w:sz w:val="28"/>
          <w:szCs w:val="28"/>
        </w:rPr>
        <w:t xml:space="preserve"> </w:t>
      </w:r>
    </w:p>
    <w:p w14:paraId="084D5CEF" w14:textId="2F7C7977" w:rsidR="00424444" w:rsidRPr="00424444" w:rsidRDefault="004D1207" w:rsidP="00424444">
      <w:pPr>
        <w:numPr>
          <w:ilvl w:val="0"/>
          <w:numId w:val="3"/>
        </w:numPr>
        <w:spacing w:line="360" w:lineRule="auto"/>
        <w:jc w:val="both"/>
        <w:rPr>
          <w:rFonts w:ascii="Times New Roman" w:hAnsi="Times New Roman" w:cs="Times New Roman"/>
          <w:sz w:val="28"/>
          <w:szCs w:val="28"/>
        </w:rPr>
      </w:pPr>
      <w:r w:rsidRPr="00424444">
        <w:rPr>
          <w:rFonts w:ascii="Times New Roman" w:hAnsi="Times New Roman" w:cs="Times New Roman"/>
          <w:sz w:val="28"/>
          <w:szCs w:val="28"/>
        </w:rPr>
        <w:t xml:space="preserve">Did the use of sampled sound recording, amount to unlawful appropriation? </w:t>
      </w:r>
    </w:p>
    <w:p w14:paraId="25F01CAD" w14:textId="77777777" w:rsidR="00387E2B" w:rsidRPr="00424444" w:rsidRDefault="00387E2B" w:rsidP="00424444">
      <w:pPr>
        <w:spacing w:line="360" w:lineRule="auto"/>
        <w:jc w:val="both"/>
        <w:rPr>
          <w:rFonts w:ascii="Times New Roman" w:hAnsi="Times New Roman" w:cs="Times New Roman"/>
          <w:b/>
          <w:bCs/>
          <w:sz w:val="28"/>
          <w:szCs w:val="28"/>
        </w:rPr>
      </w:pPr>
      <w:r w:rsidRPr="00424444">
        <w:rPr>
          <w:rFonts w:ascii="Times New Roman" w:hAnsi="Times New Roman" w:cs="Times New Roman"/>
          <w:b/>
          <w:bCs/>
          <w:sz w:val="28"/>
          <w:szCs w:val="28"/>
        </w:rPr>
        <w:t>Arguments of the Parties</w:t>
      </w:r>
    </w:p>
    <w:p w14:paraId="0788E893" w14:textId="77777777" w:rsidR="00387E2B" w:rsidRPr="00424444" w:rsidRDefault="00387E2B" w:rsidP="00424444">
      <w:pPr>
        <w:spacing w:line="360" w:lineRule="auto"/>
        <w:jc w:val="both"/>
        <w:rPr>
          <w:rFonts w:ascii="Times New Roman" w:hAnsi="Times New Roman" w:cs="Times New Roman"/>
          <w:b/>
          <w:bCs/>
          <w:sz w:val="28"/>
          <w:szCs w:val="28"/>
        </w:rPr>
      </w:pPr>
      <w:r w:rsidRPr="00424444">
        <w:rPr>
          <w:rFonts w:ascii="Times New Roman" w:hAnsi="Times New Roman" w:cs="Times New Roman"/>
          <w:b/>
          <w:bCs/>
          <w:sz w:val="28"/>
          <w:szCs w:val="28"/>
        </w:rPr>
        <w:t>Plaintiffs’ Arguments</w:t>
      </w:r>
    </w:p>
    <w:p w14:paraId="54E9F43E" w14:textId="6427A6F2" w:rsidR="00D6096B" w:rsidRPr="00424444" w:rsidRDefault="00D6096B" w:rsidP="00424444">
      <w:pPr>
        <w:spacing w:line="360" w:lineRule="auto"/>
        <w:jc w:val="both"/>
        <w:rPr>
          <w:rFonts w:ascii="Times New Roman" w:hAnsi="Times New Roman" w:cs="Times New Roman"/>
          <w:sz w:val="28"/>
          <w:szCs w:val="28"/>
        </w:rPr>
      </w:pPr>
      <w:r w:rsidRPr="00424444">
        <w:rPr>
          <w:rFonts w:ascii="Times New Roman" w:hAnsi="Times New Roman" w:cs="Times New Roman"/>
          <w:sz w:val="28"/>
          <w:szCs w:val="28"/>
        </w:rPr>
        <w:lastRenderedPageBreak/>
        <w:t xml:space="preserve">The plaintiffs have stated that the licenses from co-owners of “100 Miles and </w:t>
      </w:r>
      <w:r w:rsidR="00424444" w:rsidRPr="00424444">
        <w:rPr>
          <w:rFonts w:ascii="Times New Roman" w:hAnsi="Times New Roman" w:cs="Times New Roman"/>
          <w:sz w:val="28"/>
          <w:szCs w:val="28"/>
        </w:rPr>
        <w:t>Running</w:t>
      </w:r>
      <w:r w:rsidRPr="00424444">
        <w:rPr>
          <w:rFonts w:ascii="Times New Roman" w:hAnsi="Times New Roman" w:cs="Times New Roman"/>
          <w:sz w:val="28"/>
          <w:szCs w:val="28"/>
        </w:rPr>
        <w:t xml:space="preserve">’” granted their specific ownership interest and not the Bridgeport’s later-acquired share. They argued that the defendants cannot rely on retroactive licenses to justify their previous acts of infringement. </w:t>
      </w:r>
    </w:p>
    <w:p w14:paraId="46B879EA" w14:textId="1B3348F1" w:rsidR="00553D4B" w:rsidRPr="00424444" w:rsidRDefault="00D6096B" w:rsidP="00424444">
      <w:pPr>
        <w:spacing w:line="360" w:lineRule="auto"/>
        <w:jc w:val="both"/>
        <w:rPr>
          <w:rFonts w:ascii="Times New Roman" w:hAnsi="Times New Roman" w:cs="Times New Roman"/>
          <w:sz w:val="28"/>
          <w:szCs w:val="28"/>
        </w:rPr>
      </w:pPr>
      <w:r w:rsidRPr="00424444">
        <w:rPr>
          <w:rFonts w:ascii="Times New Roman" w:hAnsi="Times New Roman" w:cs="Times New Roman"/>
          <w:sz w:val="28"/>
          <w:szCs w:val="28"/>
        </w:rPr>
        <w:t xml:space="preserve">Bridgeport claimed that the sampled guitar chord was an essential and original part of “Get Off Your Ass and Jam”. Since the sample was copied digitally and repeatedly looped in the composition </w:t>
      </w:r>
      <w:r w:rsidR="00424444" w:rsidRPr="00424444">
        <w:rPr>
          <w:rFonts w:ascii="Times New Roman" w:hAnsi="Times New Roman" w:cs="Times New Roman"/>
          <w:sz w:val="28"/>
          <w:szCs w:val="28"/>
        </w:rPr>
        <w:t>“100</w:t>
      </w:r>
      <w:r w:rsidRPr="00424444">
        <w:rPr>
          <w:rFonts w:ascii="Times New Roman" w:hAnsi="Times New Roman" w:cs="Times New Roman"/>
          <w:sz w:val="28"/>
          <w:szCs w:val="28"/>
        </w:rPr>
        <w:t xml:space="preserve"> Miles and </w:t>
      </w:r>
      <w:r w:rsidR="00424444" w:rsidRPr="00424444">
        <w:rPr>
          <w:rFonts w:ascii="Times New Roman" w:hAnsi="Times New Roman" w:cs="Times New Roman"/>
          <w:sz w:val="28"/>
          <w:szCs w:val="28"/>
        </w:rPr>
        <w:t>Running</w:t>
      </w:r>
      <w:r w:rsidRPr="00424444">
        <w:rPr>
          <w:rFonts w:ascii="Times New Roman" w:hAnsi="Times New Roman" w:cs="Times New Roman"/>
          <w:sz w:val="28"/>
          <w:szCs w:val="28"/>
        </w:rPr>
        <w:t xml:space="preserve">’”, the plaintiffs contended that the defendants have exercised unlawful use of the protected material. </w:t>
      </w:r>
    </w:p>
    <w:p w14:paraId="03452DAB" w14:textId="73EB282E" w:rsidR="00387E2B" w:rsidRPr="00424444" w:rsidRDefault="00D6096B" w:rsidP="00424444">
      <w:pPr>
        <w:spacing w:line="360" w:lineRule="auto"/>
        <w:jc w:val="both"/>
        <w:rPr>
          <w:rFonts w:ascii="Times New Roman" w:hAnsi="Times New Roman" w:cs="Times New Roman"/>
          <w:sz w:val="28"/>
          <w:szCs w:val="28"/>
        </w:rPr>
      </w:pPr>
      <w:r w:rsidRPr="00424444">
        <w:rPr>
          <w:rFonts w:ascii="Times New Roman" w:hAnsi="Times New Roman" w:cs="Times New Roman"/>
          <w:sz w:val="28"/>
          <w:szCs w:val="28"/>
        </w:rPr>
        <w:t xml:space="preserve">Westbound Records added that even though the copied segment was short and small, but it was significant as it had greatly contributed to the musical identity and commercial appeal of “Get Off Your Ass and Jam”. </w:t>
      </w:r>
    </w:p>
    <w:p w14:paraId="0FF5AD93" w14:textId="22FE98C1" w:rsidR="00387E2B" w:rsidRPr="00424444" w:rsidRDefault="00424444" w:rsidP="00424444">
      <w:pPr>
        <w:spacing w:line="360" w:lineRule="auto"/>
        <w:jc w:val="both"/>
        <w:rPr>
          <w:rFonts w:ascii="Times New Roman" w:hAnsi="Times New Roman" w:cs="Times New Roman"/>
          <w:b/>
          <w:bCs/>
          <w:sz w:val="28"/>
          <w:szCs w:val="28"/>
        </w:rPr>
      </w:pPr>
      <w:r w:rsidRPr="00424444">
        <w:rPr>
          <w:rFonts w:ascii="Times New Roman" w:hAnsi="Times New Roman" w:cs="Times New Roman"/>
          <w:b/>
          <w:bCs/>
          <w:sz w:val="28"/>
          <w:szCs w:val="28"/>
        </w:rPr>
        <w:t>DEFENDANTS’ ARGUMENTS</w:t>
      </w:r>
    </w:p>
    <w:p w14:paraId="0223C5E2" w14:textId="7F838751" w:rsidR="00D6096B" w:rsidRPr="00424444" w:rsidRDefault="00D6096B" w:rsidP="00424444">
      <w:pPr>
        <w:spacing w:line="360" w:lineRule="auto"/>
        <w:jc w:val="both"/>
        <w:rPr>
          <w:rFonts w:ascii="Times New Roman" w:hAnsi="Times New Roman" w:cs="Times New Roman"/>
          <w:sz w:val="28"/>
          <w:szCs w:val="28"/>
        </w:rPr>
      </w:pPr>
      <w:r w:rsidRPr="00424444">
        <w:rPr>
          <w:rFonts w:ascii="Times New Roman" w:hAnsi="Times New Roman" w:cs="Times New Roman"/>
          <w:sz w:val="28"/>
          <w:szCs w:val="28"/>
        </w:rPr>
        <w:t xml:space="preserve">The defendants claimed that they had </w:t>
      </w:r>
      <w:r w:rsidR="0092301E" w:rsidRPr="00424444">
        <w:rPr>
          <w:rFonts w:ascii="Times New Roman" w:hAnsi="Times New Roman" w:cs="Times New Roman"/>
          <w:sz w:val="28"/>
          <w:szCs w:val="28"/>
        </w:rPr>
        <w:t>a valid oral license from the original co-owners of “</w:t>
      </w:r>
      <w:r w:rsidRPr="00424444">
        <w:rPr>
          <w:rFonts w:ascii="Times New Roman" w:hAnsi="Times New Roman" w:cs="Times New Roman"/>
          <w:sz w:val="28"/>
          <w:szCs w:val="28"/>
        </w:rPr>
        <w:t xml:space="preserve">100 Miles and </w:t>
      </w:r>
      <w:r w:rsidR="00424444" w:rsidRPr="00424444">
        <w:rPr>
          <w:rFonts w:ascii="Times New Roman" w:hAnsi="Times New Roman" w:cs="Times New Roman"/>
          <w:sz w:val="28"/>
          <w:szCs w:val="28"/>
        </w:rPr>
        <w:t>Running’”</w:t>
      </w:r>
      <w:r w:rsidRPr="00424444">
        <w:rPr>
          <w:rFonts w:ascii="Times New Roman" w:hAnsi="Times New Roman" w:cs="Times New Roman"/>
          <w:sz w:val="28"/>
          <w:szCs w:val="28"/>
        </w:rPr>
        <w:t xml:space="preserve"> before Bridgeport acquired any interest. They also</w:t>
      </w:r>
      <w:r w:rsidR="00CF2B38" w:rsidRPr="00424444">
        <w:rPr>
          <w:rFonts w:ascii="Times New Roman" w:hAnsi="Times New Roman" w:cs="Times New Roman"/>
          <w:sz w:val="28"/>
          <w:szCs w:val="28"/>
        </w:rPr>
        <w:t xml:space="preserve"> made a reference to the written retroactive license to formalize the oral agreements. </w:t>
      </w:r>
    </w:p>
    <w:p w14:paraId="517D87BD" w14:textId="5AFE7FF0" w:rsidR="00CF2B38" w:rsidRPr="00424444" w:rsidRDefault="00CF2B38" w:rsidP="00424444">
      <w:pPr>
        <w:spacing w:line="360" w:lineRule="auto"/>
        <w:jc w:val="both"/>
        <w:rPr>
          <w:rFonts w:ascii="Times New Roman" w:hAnsi="Times New Roman" w:cs="Times New Roman"/>
          <w:sz w:val="28"/>
          <w:szCs w:val="28"/>
        </w:rPr>
      </w:pPr>
      <w:r w:rsidRPr="00424444">
        <w:rPr>
          <w:rFonts w:ascii="Times New Roman" w:hAnsi="Times New Roman" w:cs="Times New Roman"/>
          <w:sz w:val="28"/>
          <w:szCs w:val="28"/>
        </w:rPr>
        <w:t xml:space="preserve">The defendants stated that the copied sample portion, of sound recording, was not original enough to qualify for copyright protection. They argued that the sampled segment was small and not recognizable to an average listener. </w:t>
      </w:r>
    </w:p>
    <w:p w14:paraId="781BCC8E" w14:textId="0DB599B3" w:rsidR="00CF2B38" w:rsidRPr="00424444" w:rsidRDefault="00CF2B38" w:rsidP="00424444">
      <w:pPr>
        <w:spacing w:line="360" w:lineRule="auto"/>
        <w:jc w:val="both"/>
        <w:rPr>
          <w:rFonts w:ascii="Times New Roman" w:hAnsi="Times New Roman" w:cs="Times New Roman"/>
          <w:sz w:val="28"/>
          <w:szCs w:val="28"/>
        </w:rPr>
      </w:pPr>
      <w:r w:rsidRPr="00424444">
        <w:rPr>
          <w:rFonts w:ascii="Times New Roman" w:hAnsi="Times New Roman" w:cs="Times New Roman"/>
          <w:sz w:val="28"/>
          <w:szCs w:val="28"/>
        </w:rPr>
        <w:t xml:space="preserve">The defendants also pointed out the fact that the sample had been significantly altered through looping, changing tempo and pitch modification, reducing substantial similarity between the two works. </w:t>
      </w:r>
    </w:p>
    <w:p w14:paraId="1FEA8058" w14:textId="77777777" w:rsidR="00424444" w:rsidRDefault="00424444" w:rsidP="00424444">
      <w:pPr>
        <w:spacing w:line="360" w:lineRule="auto"/>
        <w:jc w:val="both"/>
        <w:rPr>
          <w:rFonts w:ascii="Times New Roman" w:hAnsi="Times New Roman" w:cs="Times New Roman"/>
          <w:sz w:val="28"/>
          <w:szCs w:val="28"/>
        </w:rPr>
      </w:pPr>
    </w:p>
    <w:p w14:paraId="7F312BE7" w14:textId="77777777" w:rsidR="00424444" w:rsidRDefault="00424444" w:rsidP="00424444">
      <w:pPr>
        <w:spacing w:line="360" w:lineRule="auto"/>
        <w:jc w:val="both"/>
        <w:rPr>
          <w:rFonts w:ascii="Times New Roman" w:hAnsi="Times New Roman" w:cs="Times New Roman"/>
          <w:sz w:val="28"/>
          <w:szCs w:val="28"/>
        </w:rPr>
      </w:pPr>
    </w:p>
    <w:p w14:paraId="5940AEAE" w14:textId="678349A1" w:rsidR="00387E2B" w:rsidRPr="00424444" w:rsidRDefault="00424444" w:rsidP="00424444">
      <w:pPr>
        <w:spacing w:line="360" w:lineRule="auto"/>
        <w:jc w:val="both"/>
        <w:rPr>
          <w:rFonts w:ascii="Times New Roman" w:hAnsi="Times New Roman" w:cs="Times New Roman"/>
          <w:b/>
          <w:bCs/>
          <w:sz w:val="28"/>
          <w:szCs w:val="28"/>
        </w:rPr>
      </w:pPr>
      <w:r w:rsidRPr="00424444">
        <w:rPr>
          <w:rFonts w:ascii="Times New Roman" w:hAnsi="Times New Roman" w:cs="Times New Roman"/>
          <w:b/>
          <w:bCs/>
          <w:sz w:val="28"/>
          <w:szCs w:val="28"/>
        </w:rPr>
        <w:t>DECISION AND RATIO DECIDENDI</w:t>
      </w:r>
    </w:p>
    <w:p w14:paraId="0336359F" w14:textId="42CC04F4" w:rsidR="00C8637D" w:rsidRPr="00424444" w:rsidRDefault="0092301E" w:rsidP="00424444">
      <w:pPr>
        <w:spacing w:line="360" w:lineRule="auto"/>
        <w:jc w:val="both"/>
        <w:rPr>
          <w:rFonts w:ascii="Times New Roman" w:hAnsi="Times New Roman" w:cs="Times New Roman"/>
          <w:sz w:val="28"/>
          <w:szCs w:val="28"/>
        </w:rPr>
      </w:pPr>
      <w:r w:rsidRPr="00424444">
        <w:rPr>
          <w:rFonts w:ascii="Times New Roman" w:hAnsi="Times New Roman" w:cs="Times New Roman"/>
          <w:sz w:val="28"/>
          <w:szCs w:val="28"/>
        </w:rPr>
        <w:lastRenderedPageBreak/>
        <w:t xml:space="preserve">The Court gave its ruling in favor of the defendants and dismissed all the claims of copyright infringement claims. The Court found that the defendants held a valid oral license </w:t>
      </w:r>
      <w:r w:rsidR="00F72762" w:rsidRPr="00424444">
        <w:rPr>
          <w:rFonts w:ascii="Times New Roman" w:hAnsi="Times New Roman" w:cs="Times New Roman"/>
          <w:sz w:val="28"/>
          <w:szCs w:val="28"/>
        </w:rPr>
        <w:t>from the</w:t>
      </w:r>
      <w:r w:rsidR="00715C8E" w:rsidRPr="00424444">
        <w:rPr>
          <w:rFonts w:ascii="Times New Roman" w:hAnsi="Times New Roman" w:cs="Times New Roman"/>
          <w:sz w:val="28"/>
          <w:szCs w:val="28"/>
        </w:rPr>
        <w:t xml:space="preserve"> co-owners of “100 Miles and </w:t>
      </w:r>
      <w:r w:rsidR="00424444" w:rsidRPr="00424444">
        <w:rPr>
          <w:rFonts w:ascii="Times New Roman" w:hAnsi="Times New Roman" w:cs="Times New Roman"/>
          <w:sz w:val="28"/>
          <w:szCs w:val="28"/>
        </w:rPr>
        <w:t>Running</w:t>
      </w:r>
      <w:r w:rsidR="00715C8E" w:rsidRPr="00424444">
        <w:rPr>
          <w:rFonts w:ascii="Times New Roman" w:hAnsi="Times New Roman" w:cs="Times New Roman"/>
          <w:sz w:val="28"/>
          <w:szCs w:val="28"/>
        </w:rPr>
        <w:t xml:space="preserve">’ </w:t>
      </w:r>
      <w:r w:rsidR="00424444" w:rsidRPr="00424444">
        <w:rPr>
          <w:rFonts w:ascii="Times New Roman" w:hAnsi="Times New Roman" w:cs="Times New Roman"/>
          <w:sz w:val="28"/>
          <w:szCs w:val="28"/>
        </w:rPr>
        <w:t>“before</w:t>
      </w:r>
      <w:r w:rsidR="00C8637D" w:rsidRPr="00424444">
        <w:rPr>
          <w:rFonts w:ascii="Times New Roman" w:hAnsi="Times New Roman" w:cs="Times New Roman"/>
          <w:sz w:val="28"/>
          <w:szCs w:val="28"/>
        </w:rPr>
        <w:t xml:space="preserve"> Bridgeport obtained its ownership interest. The subsequent written licenses merely confirmed the earlier agreement. Therefore, the Release and Agreement signed by Bridgeport</w:t>
      </w:r>
      <w:r w:rsidR="00715C8E" w:rsidRPr="00424444">
        <w:rPr>
          <w:rFonts w:ascii="Times New Roman" w:hAnsi="Times New Roman" w:cs="Times New Roman"/>
          <w:sz w:val="28"/>
          <w:szCs w:val="28"/>
        </w:rPr>
        <w:t>,</w:t>
      </w:r>
      <w:r w:rsidR="00C8637D" w:rsidRPr="00424444">
        <w:rPr>
          <w:rFonts w:ascii="Times New Roman" w:hAnsi="Times New Roman" w:cs="Times New Roman"/>
          <w:sz w:val="28"/>
          <w:szCs w:val="28"/>
        </w:rPr>
        <w:t xml:space="preserve"> barred any claims concerning the musical composition.</w:t>
      </w:r>
    </w:p>
    <w:p w14:paraId="51B3BE32" w14:textId="77777777" w:rsidR="00C8637D" w:rsidRPr="00424444" w:rsidRDefault="00C8637D" w:rsidP="00424444">
      <w:pPr>
        <w:spacing w:line="360" w:lineRule="auto"/>
        <w:jc w:val="both"/>
        <w:rPr>
          <w:rFonts w:ascii="Times New Roman" w:hAnsi="Times New Roman" w:cs="Times New Roman"/>
          <w:sz w:val="28"/>
          <w:szCs w:val="28"/>
        </w:rPr>
      </w:pPr>
      <w:r w:rsidRPr="00424444">
        <w:rPr>
          <w:rFonts w:ascii="Times New Roman" w:hAnsi="Times New Roman" w:cs="Times New Roman"/>
          <w:sz w:val="28"/>
          <w:szCs w:val="28"/>
        </w:rPr>
        <w:t>As for the sound recording of “Get Off Your Ass and Jam,” the court recognized that the sampled guitar chord could be original. However, it concluded that the copied portion was a minor use because the sample was small, heavily altered, and not recognizable to an average listener. The key point of the case was that trivial and unrecognizable sampling that lacks substantial similarity does not constitute actionable copyright infringement.</w:t>
      </w:r>
    </w:p>
    <w:p w14:paraId="5F3B278A" w14:textId="202C21AE" w:rsidR="00387E2B" w:rsidRPr="00424444" w:rsidRDefault="00C8637D" w:rsidP="00424444">
      <w:pPr>
        <w:spacing w:line="360" w:lineRule="auto"/>
        <w:jc w:val="both"/>
        <w:rPr>
          <w:rFonts w:ascii="Times New Roman" w:hAnsi="Times New Roman" w:cs="Times New Roman"/>
          <w:sz w:val="28"/>
          <w:szCs w:val="28"/>
        </w:rPr>
      </w:pPr>
      <w:r w:rsidRPr="00424444">
        <w:rPr>
          <w:rFonts w:ascii="Times New Roman" w:hAnsi="Times New Roman" w:cs="Times New Roman"/>
          <w:sz w:val="28"/>
          <w:szCs w:val="28"/>
        </w:rPr>
        <w:t>The court determined that an average listener would not recognize the sampled segment as taken from the original work. Consequently, no substantial similarity was found, and the use was ruled legally insignificant.</w:t>
      </w:r>
    </w:p>
    <w:p w14:paraId="7B68B6DD" w14:textId="10234BF0" w:rsidR="00387E2B" w:rsidRPr="00424444" w:rsidRDefault="00424444" w:rsidP="00424444">
      <w:pPr>
        <w:spacing w:line="360" w:lineRule="auto"/>
        <w:jc w:val="both"/>
        <w:rPr>
          <w:rFonts w:ascii="Times New Roman" w:hAnsi="Times New Roman" w:cs="Times New Roman"/>
          <w:b/>
          <w:bCs/>
          <w:sz w:val="28"/>
          <w:szCs w:val="28"/>
        </w:rPr>
      </w:pPr>
      <w:r w:rsidRPr="00424444">
        <w:rPr>
          <w:rFonts w:ascii="Times New Roman" w:hAnsi="Times New Roman" w:cs="Times New Roman"/>
          <w:b/>
          <w:bCs/>
          <w:sz w:val="28"/>
          <w:szCs w:val="28"/>
        </w:rPr>
        <w:t>CRITICAL ANALYSIS OF THE JUDGMENT</w:t>
      </w:r>
    </w:p>
    <w:p w14:paraId="5AF1F04C" w14:textId="77777777" w:rsidR="00C8637D" w:rsidRPr="00424444" w:rsidRDefault="00C8637D" w:rsidP="00424444">
      <w:pPr>
        <w:spacing w:line="360" w:lineRule="auto"/>
        <w:jc w:val="both"/>
        <w:rPr>
          <w:rFonts w:ascii="Times New Roman" w:hAnsi="Times New Roman" w:cs="Times New Roman"/>
          <w:sz w:val="28"/>
          <w:szCs w:val="28"/>
        </w:rPr>
      </w:pPr>
      <w:r w:rsidRPr="00424444">
        <w:rPr>
          <w:rFonts w:ascii="Times New Roman" w:hAnsi="Times New Roman" w:cs="Times New Roman"/>
          <w:sz w:val="28"/>
          <w:szCs w:val="28"/>
        </w:rPr>
        <w:t>This ruling is important because it strikes a balance between copyright protection and artistic creativity in digital music sampling. The court effectively applied the minor use doctrine and stressed that copyright infringement requires substantial similarity that ordinary listeners can recognize. By considering both the quantity and quality of copying, the court avoided categorizing every unauthorized sample as an infringement.</w:t>
      </w:r>
    </w:p>
    <w:p w14:paraId="0E9C8B20" w14:textId="77777777" w:rsidR="00C8637D" w:rsidRPr="00424444" w:rsidRDefault="00C8637D" w:rsidP="00424444">
      <w:pPr>
        <w:spacing w:line="360" w:lineRule="auto"/>
        <w:jc w:val="both"/>
        <w:rPr>
          <w:rFonts w:ascii="Times New Roman" w:hAnsi="Times New Roman" w:cs="Times New Roman"/>
          <w:sz w:val="28"/>
          <w:szCs w:val="28"/>
        </w:rPr>
      </w:pPr>
      <w:r w:rsidRPr="00424444">
        <w:rPr>
          <w:rFonts w:ascii="Times New Roman" w:hAnsi="Times New Roman" w:cs="Times New Roman"/>
          <w:sz w:val="28"/>
          <w:szCs w:val="28"/>
        </w:rPr>
        <w:t xml:space="preserve">A major strength of the decision lies in its acknowledgment of remix culture and the creative role of sampling in modern music production, especially in hip-hop and rap. </w:t>
      </w:r>
      <w:r w:rsidRPr="00424444">
        <w:rPr>
          <w:rFonts w:ascii="Times New Roman" w:hAnsi="Times New Roman" w:cs="Times New Roman"/>
          <w:sz w:val="28"/>
          <w:szCs w:val="28"/>
        </w:rPr>
        <w:lastRenderedPageBreak/>
        <w:t>The court recognized that music evolves through borrowing and reinterpretation, thus protecting artistic innovation from overreaching legal restrictions.</w:t>
      </w:r>
    </w:p>
    <w:p w14:paraId="72E4DBB9" w14:textId="27E6EB38" w:rsidR="00387E2B" w:rsidRPr="00424444" w:rsidRDefault="00C8637D" w:rsidP="00424444">
      <w:pPr>
        <w:spacing w:line="360" w:lineRule="auto"/>
        <w:jc w:val="both"/>
        <w:rPr>
          <w:rFonts w:ascii="Times New Roman" w:hAnsi="Times New Roman" w:cs="Times New Roman"/>
          <w:sz w:val="28"/>
          <w:szCs w:val="28"/>
        </w:rPr>
      </w:pPr>
      <w:r w:rsidRPr="00424444">
        <w:rPr>
          <w:rFonts w:ascii="Times New Roman" w:hAnsi="Times New Roman" w:cs="Times New Roman"/>
          <w:sz w:val="28"/>
          <w:szCs w:val="28"/>
        </w:rPr>
        <w:t>However, the ruling also has weaknesses. The reliance on the “ordinary listener” test can introduce subjectivity, as listeners may not have the musical knowledge to identify altered samples. Additionally, the court may have undervalued the economic and artistic significance of small sound recordings. Despite these issues, the ruling remains a vital contribution to copyright law because it sought to balance intellectual property rights with cultural and musical creativity.</w:t>
      </w:r>
    </w:p>
    <w:p w14:paraId="50CE3321" w14:textId="10D08F3D" w:rsidR="00387E2B" w:rsidRPr="00424444" w:rsidRDefault="00424444" w:rsidP="00424444">
      <w:pPr>
        <w:spacing w:line="360" w:lineRule="auto"/>
        <w:jc w:val="both"/>
        <w:rPr>
          <w:rFonts w:ascii="Times New Roman" w:hAnsi="Times New Roman" w:cs="Times New Roman"/>
          <w:b/>
          <w:bCs/>
          <w:sz w:val="28"/>
          <w:szCs w:val="28"/>
        </w:rPr>
      </w:pPr>
      <w:r w:rsidRPr="00424444">
        <w:rPr>
          <w:rFonts w:ascii="Times New Roman" w:hAnsi="Times New Roman" w:cs="Times New Roman"/>
          <w:b/>
          <w:bCs/>
          <w:sz w:val="28"/>
          <w:szCs w:val="28"/>
        </w:rPr>
        <w:t>IMPACT, DEVELOPMENTS, AND IMPLICATIONS</w:t>
      </w:r>
    </w:p>
    <w:p w14:paraId="2DAE5EB4" w14:textId="77777777" w:rsidR="00C8637D" w:rsidRPr="00424444" w:rsidRDefault="00C8637D" w:rsidP="00424444">
      <w:pPr>
        <w:spacing w:line="360" w:lineRule="auto"/>
        <w:jc w:val="both"/>
        <w:rPr>
          <w:rFonts w:ascii="Times New Roman" w:hAnsi="Times New Roman" w:cs="Times New Roman"/>
          <w:sz w:val="28"/>
          <w:szCs w:val="28"/>
        </w:rPr>
      </w:pPr>
      <w:r w:rsidRPr="00424444">
        <w:rPr>
          <w:rFonts w:ascii="Times New Roman" w:hAnsi="Times New Roman" w:cs="Times New Roman"/>
          <w:sz w:val="28"/>
          <w:szCs w:val="28"/>
        </w:rPr>
        <w:t>The decision in Bridgeport Music, Inc. v. Dimension Films significantly affected how the law treats digital music sampling. By embracing the minor use doctrine in sound recording infringement, the court initially offered more leeway for artists involved in remixing and sampling, suggesting that minor, unrecognizable uses might not lead to liability.</w:t>
      </w:r>
    </w:p>
    <w:p w14:paraId="32BB818B" w14:textId="60DA905E" w:rsidR="00387E2B" w:rsidRPr="00424444" w:rsidRDefault="00C8637D" w:rsidP="00424444">
      <w:pPr>
        <w:spacing w:line="360" w:lineRule="auto"/>
        <w:jc w:val="both"/>
        <w:rPr>
          <w:rFonts w:ascii="Times New Roman" w:hAnsi="Times New Roman" w:cs="Times New Roman"/>
          <w:sz w:val="28"/>
          <w:szCs w:val="28"/>
        </w:rPr>
      </w:pPr>
      <w:r w:rsidRPr="00424444">
        <w:rPr>
          <w:rFonts w:ascii="Times New Roman" w:hAnsi="Times New Roman" w:cs="Times New Roman"/>
          <w:sz w:val="28"/>
          <w:szCs w:val="28"/>
        </w:rPr>
        <w:t>The ruling also reinforced the need for substantial similarity and recognizability in determining infringement, thereby supporting creative exploration in music production. However, its influence was later diminished by appellate decisions that adopted a stricter “get a license or do not sample” stance. Nonetheless, the case remains important in academic discussions, as it highlights the conflict between copyright protection and artistic innovation in the digital age, and continues to shape conversations on sampling, fair use, and the future of music copyright law.</w:t>
      </w:r>
    </w:p>
    <w:p w14:paraId="5E656F03" w14:textId="6C5A9A7F" w:rsidR="00387E2B" w:rsidRPr="00424444" w:rsidRDefault="00424444" w:rsidP="00424444">
      <w:pPr>
        <w:spacing w:line="360" w:lineRule="auto"/>
        <w:jc w:val="both"/>
        <w:rPr>
          <w:rFonts w:ascii="Times New Roman" w:hAnsi="Times New Roman" w:cs="Times New Roman"/>
          <w:b/>
          <w:bCs/>
          <w:sz w:val="28"/>
          <w:szCs w:val="28"/>
        </w:rPr>
      </w:pPr>
      <w:r w:rsidRPr="00424444">
        <w:rPr>
          <w:rFonts w:ascii="Times New Roman" w:hAnsi="Times New Roman" w:cs="Times New Roman"/>
          <w:b/>
          <w:bCs/>
          <w:sz w:val="28"/>
          <w:szCs w:val="28"/>
        </w:rPr>
        <w:t>SUGGESTIONS AND SCOPE FOR REFORM</w:t>
      </w:r>
    </w:p>
    <w:p w14:paraId="5304442B" w14:textId="77777777" w:rsidR="00C8637D" w:rsidRPr="00424444" w:rsidRDefault="00C8637D" w:rsidP="00424444">
      <w:pPr>
        <w:spacing w:line="360" w:lineRule="auto"/>
        <w:jc w:val="both"/>
        <w:rPr>
          <w:rFonts w:ascii="Times New Roman" w:hAnsi="Times New Roman" w:cs="Times New Roman"/>
          <w:sz w:val="28"/>
          <w:szCs w:val="28"/>
        </w:rPr>
      </w:pPr>
      <w:r w:rsidRPr="00424444">
        <w:rPr>
          <w:rFonts w:ascii="Times New Roman" w:hAnsi="Times New Roman" w:cs="Times New Roman"/>
          <w:sz w:val="28"/>
          <w:szCs w:val="28"/>
        </w:rPr>
        <w:t xml:space="preserve">The legal confusion surrounding music sampling shows the need for clearer statutory guidelines. Legislators should think about creating a compulsory licensing system for small digital samples, similar to existing mechanical licensing frameworks in </w:t>
      </w:r>
      <w:r w:rsidRPr="00424444">
        <w:rPr>
          <w:rFonts w:ascii="Times New Roman" w:hAnsi="Times New Roman" w:cs="Times New Roman"/>
          <w:sz w:val="28"/>
          <w:szCs w:val="28"/>
        </w:rPr>
        <w:lastRenderedPageBreak/>
        <w:t>music law. Such a system would lower litigation expenses while ensuring fair compensation for copyright holders.</w:t>
      </w:r>
    </w:p>
    <w:p w14:paraId="65B7FF4F" w14:textId="77777777" w:rsidR="00C8637D" w:rsidRPr="00424444" w:rsidRDefault="00C8637D" w:rsidP="00424444">
      <w:pPr>
        <w:spacing w:line="360" w:lineRule="auto"/>
        <w:jc w:val="both"/>
        <w:rPr>
          <w:rFonts w:ascii="Times New Roman" w:hAnsi="Times New Roman" w:cs="Times New Roman"/>
          <w:sz w:val="28"/>
          <w:szCs w:val="28"/>
        </w:rPr>
      </w:pPr>
      <w:r w:rsidRPr="00424444">
        <w:rPr>
          <w:rFonts w:ascii="Times New Roman" w:hAnsi="Times New Roman" w:cs="Times New Roman"/>
          <w:sz w:val="28"/>
          <w:szCs w:val="28"/>
        </w:rPr>
        <w:t>Courts should also take a more technology-informed approach when evaluating substantial similarity in music cases. Focusing only on the “ordinary listener” test is inadequate in an era where digital manipulation can significantly change sounds while keeping recognizable sonic elements.</w:t>
      </w:r>
    </w:p>
    <w:p w14:paraId="5ECA63CC" w14:textId="77777777" w:rsidR="00C8637D" w:rsidRPr="00424444" w:rsidRDefault="00C8637D" w:rsidP="00424444">
      <w:pPr>
        <w:spacing w:line="360" w:lineRule="auto"/>
        <w:jc w:val="both"/>
        <w:rPr>
          <w:rFonts w:ascii="Times New Roman" w:hAnsi="Times New Roman" w:cs="Times New Roman"/>
          <w:sz w:val="28"/>
          <w:szCs w:val="28"/>
        </w:rPr>
      </w:pPr>
      <w:r w:rsidRPr="00424444">
        <w:rPr>
          <w:rFonts w:ascii="Times New Roman" w:hAnsi="Times New Roman" w:cs="Times New Roman"/>
          <w:sz w:val="28"/>
          <w:szCs w:val="28"/>
        </w:rPr>
        <w:t>Furthermore, more emphasis should be placed on transformative use in sampling cases. Sampling often serves as commentary, reinterpretation, or homage instead of mere duplication. Strengthening protections for transformative use could better align copyright law with artistic creativity.</w:t>
      </w:r>
    </w:p>
    <w:p w14:paraId="656CBAE0" w14:textId="3BE15BDD" w:rsidR="00387E2B" w:rsidRPr="00424444" w:rsidRDefault="00C8637D" w:rsidP="00424444">
      <w:pPr>
        <w:spacing w:line="360" w:lineRule="auto"/>
        <w:jc w:val="both"/>
        <w:rPr>
          <w:rFonts w:ascii="Times New Roman" w:hAnsi="Times New Roman" w:cs="Times New Roman"/>
          <w:sz w:val="28"/>
          <w:szCs w:val="28"/>
        </w:rPr>
      </w:pPr>
      <w:r w:rsidRPr="00424444">
        <w:rPr>
          <w:rFonts w:ascii="Times New Roman" w:hAnsi="Times New Roman" w:cs="Times New Roman"/>
          <w:sz w:val="28"/>
          <w:szCs w:val="28"/>
        </w:rPr>
        <w:t>Finally, the law should distinguish between commercial exploitation that harms the original market and creative borrowing that supports cultural development without significantly impacting the copyright owner’s economic interests.</w:t>
      </w:r>
    </w:p>
    <w:p w14:paraId="10BFA7E6" w14:textId="130272D9" w:rsidR="00387E2B" w:rsidRPr="00424444" w:rsidRDefault="00424444" w:rsidP="00424444">
      <w:pPr>
        <w:spacing w:line="360" w:lineRule="auto"/>
        <w:jc w:val="both"/>
        <w:rPr>
          <w:rFonts w:ascii="Times New Roman" w:hAnsi="Times New Roman" w:cs="Times New Roman"/>
          <w:b/>
          <w:bCs/>
          <w:sz w:val="28"/>
          <w:szCs w:val="28"/>
        </w:rPr>
      </w:pPr>
      <w:r w:rsidRPr="00424444">
        <w:rPr>
          <w:rFonts w:ascii="Times New Roman" w:hAnsi="Times New Roman" w:cs="Times New Roman"/>
          <w:b/>
          <w:bCs/>
          <w:sz w:val="28"/>
          <w:szCs w:val="28"/>
        </w:rPr>
        <w:t xml:space="preserve">CONCLUSION </w:t>
      </w:r>
    </w:p>
    <w:p w14:paraId="0938BEBA" w14:textId="1096665F" w:rsidR="005213A9" w:rsidRPr="00424444" w:rsidRDefault="007F7E37" w:rsidP="00424444">
      <w:pPr>
        <w:spacing w:line="360" w:lineRule="auto"/>
        <w:jc w:val="both"/>
        <w:rPr>
          <w:rFonts w:ascii="Times New Roman" w:hAnsi="Times New Roman" w:cs="Times New Roman"/>
          <w:sz w:val="28"/>
          <w:szCs w:val="28"/>
        </w:rPr>
      </w:pPr>
      <w:r w:rsidRPr="00424444">
        <w:rPr>
          <w:rFonts w:ascii="Times New Roman" w:hAnsi="Times New Roman" w:cs="Times New Roman"/>
          <w:sz w:val="28"/>
          <w:szCs w:val="28"/>
        </w:rPr>
        <w:t>Court’s ruling clarified the understanding of artistic creativity and remix culture, while re</w:t>
      </w:r>
      <w:r w:rsidR="005213A9" w:rsidRPr="00424444">
        <w:rPr>
          <w:rFonts w:ascii="Times New Roman" w:hAnsi="Times New Roman" w:cs="Times New Roman"/>
          <w:sz w:val="28"/>
          <w:szCs w:val="28"/>
        </w:rPr>
        <w:t xml:space="preserve">cognizing the legitimate rights of copyright holders. Although, the later appellate ruling had enforced a stricter licensing framework, the district court’s reasonings still shape the scholarly discussions on artistic freedom, transformative use and the sampling.  </w:t>
      </w:r>
    </w:p>
    <w:p w14:paraId="02519D0F" w14:textId="0498C0C0" w:rsidR="00C8637D" w:rsidRPr="00424444" w:rsidRDefault="005213A9" w:rsidP="00424444">
      <w:pPr>
        <w:spacing w:line="360" w:lineRule="auto"/>
        <w:jc w:val="both"/>
        <w:rPr>
          <w:rFonts w:ascii="Times New Roman" w:hAnsi="Times New Roman" w:cs="Times New Roman"/>
          <w:sz w:val="28"/>
          <w:szCs w:val="28"/>
        </w:rPr>
      </w:pPr>
      <w:r w:rsidRPr="00424444">
        <w:rPr>
          <w:rFonts w:ascii="Times New Roman" w:hAnsi="Times New Roman" w:cs="Times New Roman"/>
          <w:sz w:val="28"/>
          <w:szCs w:val="28"/>
        </w:rPr>
        <w:t xml:space="preserve">Ultimately, the case highlighted the ongoing challenge of adjusting copyright law to the modern musical practices. As digital technologies reshape artistic production, the courts and legislators need to find a way to balance innovation with protection, in a way, that encourages both, creativity and fairness. </w:t>
      </w:r>
    </w:p>
    <w:p w14:paraId="701242FF" w14:textId="77777777" w:rsidR="00553D4B" w:rsidRPr="00424444" w:rsidRDefault="00553D4B" w:rsidP="00424444">
      <w:pPr>
        <w:spacing w:line="360" w:lineRule="auto"/>
        <w:jc w:val="both"/>
        <w:rPr>
          <w:rFonts w:ascii="Times New Roman" w:hAnsi="Times New Roman" w:cs="Times New Roman"/>
          <w:sz w:val="28"/>
          <w:szCs w:val="28"/>
        </w:rPr>
      </w:pPr>
    </w:p>
    <w:p w14:paraId="73CA4CA6" w14:textId="4A8FD034" w:rsidR="00387E2B" w:rsidRPr="00424444" w:rsidRDefault="00424444" w:rsidP="00424444">
      <w:pPr>
        <w:spacing w:line="360" w:lineRule="auto"/>
        <w:jc w:val="both"/>
        <w:rPr>
          <w:rFonts w:ascii="Times New Roman" w:hAnsi="Times New Roman" w:cs="Times New Roman"/>
          <w:b/>
          <w:bCs/>
          <w:sz w:val="28"/>
          <w:szCs w:val="28"/>
        </w:rPr>
      </w:pPr>
      <w:r w:rsidRPr="00424444">
        <w:rPr>
          <w:rFonts w:ascii="Times New Roman" w:hAnsi="Times New Roman" w:cs="Times New Roman"/>
          <w:b/>
          <w:bCs/>
          <w:sz w:val="28"/>
          <w:szCs w:val="28"/>
        </w:rPr>
        <w:lastRenderedPageBreak/>
        <w:t>REFERENCES</w:t>
      </w:r>
    </w:p>
    <w:p w14:paraId="32EB6CD9" w14:textId="7D80FE3A" w:rsidR="00387E2B" w:rsidRPr="00424444" w:rsidRDefault="00387E2B" w:rsidP="00424444">
      <w:pPr>
        <w:numPr>
          <w:ilvl w:val="0"/>
          <w:numId w:val="4"/>
        </w:numPr>
        <w:spacing w:line="360" w:lineRule="auto"/>
        <w:jc w:val="both"/>
        <w:rPr>
          <w:rFonts w:ascii="Times New Roman" w:hAnsi="Times New Roman" w:cs="Times New Roman"/>
          <w:sz w:val="28"/>
          <w:szCs w:val="28"/>
        </w:rPr>
      </w:pPr>
      <w:r w:rsidRPr="00424444">
        <w:rPr>
          <w:rFonts w:ascii="Times New Roman" w:hAnsi="Times New Roman" w:cs="Times New Roman"/>
          <w:sz w:val="28"/>
          <w:szCs w:val="28"/>
        </w:rPr>
        <w:t xml:space="preserve">Bridgeport Music, Inc. v. Dimension Films, 230 F. Supp. 2d 830 (M.D. Tenn. 2002). </w:t>
      </w:r>
    </w:p>
    <w:p w14:paraId="0CBB9415" w14:textId="58A5E9C9" w:rsidR="00387E2B" w:rsidRPr="00424444" w:rsidRDefault="00387E2B" w:rsidP="00424444">
      <w:pPr>
        <w:numPr>
          <w:ilvl w:val="0"/>
          <w:numId w:val="4"/>
        </w:numPr>
        <w:spacing w:line="360" w:lineRule="auto"/>
        <w:jc w:val="both"/>
        <w:rPr>
          <w:rFonts w:ascii="Times New Roman" w:hAnsi="Times New Roman" w:cs="Times New Roman"/>
          <w:sz w:val="28"/>
          <w:szCs w:val="28"/>
        </w:rPr>
      </w:pPr>
      <w:r w:rsidRPr="00424444">
        <w:rPr>
          <w:rFonts w:ascii="Times New Roman" w:hAnsi="Times New Roman" w:cs="Times New Roman"/>
          <w:sz w:val="28"/>
          <w:szCs w:val="28"/>
        </w:rPr>
        <w:t xml:space="preserve">Bridgeport Music, Inc. v. Dimension Films, 383 F.3d 390 (6th Cir. 2004). </w:t>
      </w:r>
    </w:p>
    <w:p w14:paraId="132C958A" w14:textId="23D3556D" w:rsidR="00387E2B" w:rsidRPr="00424444" w:rsidRDefault="00387E2B" w:rsidP="00424444">
      <w:pPr>
        <w:numPr>
          <w:ilvl w:val="0"/>
          <w:numId w:val="4"/>
        </w:numPr>
        <w:spacing w:line="360" w:lineRule="auto"/>
        <w:jc w:val="both"/>
        <w:rPr>
          <w:rFonts w:ascii="Times New Roman" w:hAnsi="Times New Roman" w:cs="Times New Roman"/>
          <w:sz w:val="28"/>
          <w:szCs w:val="28"/>
        </w:rPr>
      </w:pPr>
      <w:r w:rsidRPr="00424444">
        <w:rPr>
          <w:rFonts w:ascii="Times New Roman" w:hAnsi="Times New Roman" w:cs="Times New Roman"/>
          <w:sz w:val="28"/>
          <w:szCs w:val="28"/>
        </w:rPr>
        <w:t xml:space="preserve">Newton v. Diamond, 349 F.3d 591 (9th Cir. 2003). </w:t>
      </w:r>
    </w:p>
    <w:p w14:paraId="3071938B" w14:textId="1786A778" w:rsidR="00387E2B" w:rsidRPr="00424444" w:rsidRDefault="00387E2B" w:rsidP="00424444">
      <w:pPr>
        <w:numPr>
          <w:ilvl w:val="0"/>
          <w:numId w:val="4"/>
        </w:numPr>
        <w:spacing w:line="360" w:lineRule="auto"/>
        <w:jc w:val="both"/>
        <w:rPr>
          <w:rFonts w:ascii="Times New Roman" w:hAnsi="Times New Roman" w:cs="Times New Roman"/>
          <w:sz w:val="28"/>
          <w:szCs w:val="28"/>
        </w:rPr>
      </w:pPr>
      <w:r w:rsidRPr="00424444">
        <w:rPr>
          <w:rFonts w:ascii="Times New Roman" w:hAnsi="Times New Roman" w:cs="Times New Roman"/>
          <w:sz w:val="28"/>
          <w:szCs w:val="28"/>
        </w:rPr>
        <w:t xml:space="preserve">Grand Upright Music, Ltd. v. Warner Bros. Records, Inc., 780 F. Supp. 182 (S.D.N.Y. 1991). </w:t>
      </w:r>
    </w:p>
    <w:p w14:paraId="10360F1F" w14:textId="55682600" w:rsidR="00387E2B" w:rsidRPr="00424444" w:rsidRDefault="00387E2B" w:rsidP="00424444">
      <w:pPr>
        <w:numPr>
          <w:ilvl w:val="0"/>
          <w:numId w:val="4"/>
        </w:numPr>
        <w:spacing w:line="360" w:lineRule="auto"/>
        <w:jc w:val="both"/>
        <w:rPr>
          <w:rFonts w:ascii="Times New Roman" w:hAnsi="Times New Roman" w:cs="Times New Roman"/>
          <w:sz w:val="28"/>
          <w:szCs w:val="28"/>
        </w:rPr>
      </w:pPr>
      <w:r w:rsidRPr="00424444">
        <w:rPr>
          <w:rFonts w:ascii="Times New Roman" w:hAnsi="Times New Roman" w:cs="Times New Roman"/>
          <w:sz w:val="28"/>
          <w:szCs w:val="28"/>
        </w:rPr>
        <w:t xml:space="preserve">Jarvis v. A &amp; M Records, 827 F. Supp. 282 (D.N.J. 1993). </w:t>
      </w:r>
    </w:p>
    <w:p w14:paraId="04EEC0A7" w14:textId="2E322953" w:rsidR="00387E2B" w:rsidRPr="00424444" w:rsidRDefault="00387E2B" w:rsidP="00424444">
      <w:pPr>
        <w:numPr>
          <w:ilvl w:val="0"/>
          <w:numId w:val="4"/>
        </w:numPr>
        <w:spacing w:line="360" w:lineRule="auto"/>
        <w:jc w:val="both"/>
        <w:rPr>
          <w:rFonts w:ascii="Times New Roman" w:hAnsi="Times New Roman" w:cs="Times New Roman"/>
          <w:sz w:val="28"/>
          <w:szCs w:val="28"/>
        </w:rPr>
      </w:pPr>
      <w:r w:rsidRPr="00424444">
        <w:rPr>
          <w:rFonts w:ascii="Times New Roman" w:hAnsi="Times New Roman" w:cs="Times New Roman"/>
          <w:sz w:val="28"/>
          <w:szCs w:val="28"/>
        </w:rPr>
        <w:t xml:space="preserve">Ringgold v. Black Entertainment Television, 126 F.3d 70 (2d Cir. 1997). </w:t>
      </w:r>
    </w:p>
    <w:p w14:paraId="56617679" w14:textId="7257D278" w:rsidR="00387E2B" w:rsidRPr="00424444" w:rsidRDefault="00387E2B" w:rsidP="00424444">
      <w:pPr>
        <w:numPr>
          <w:ilvl w:val="0"/>
          <w:numId w:val="4"/>
        </w:numPr>
        <w:spacing w:line="360" w:lineRule="auto"/>
        <w:jc w:val="both"/>
        <w:rPr>
          <w:rFonts w:ascii="Times New Roman" w:hAnsi="Times New Roman" w:cs="Times New Roman"/>
          <w:sz w:val="28"/>
          <w:szCs w:val="28"/>
        </w:rPr>
      </w:pPr>
      <w:r w:rsidRPr="00424444">
        <w:rPr>
          <w:rFonts w:ascii="Times New Roman" w:hAnsi="Times New Roman" w:cs="Times New Roman"/>
          <w:sz w:val="28"/>
          <w:szCs w:val="28"/>
        </w:rPr>
        <w:t xml:space="preserve">Melville B. Nimmer &amp; David Nimmer, Nimmer on Copyright. </w:t>
      </w:r>
    </w:p>
    <w:p w14:paraId="740AD573" w14:textId="544043A3" w:rsidR="00387E2B" w:rsidRPr="00424444" w:rsidRDefault="00387E2B" w:rsidP="00424444">
      <w:pPr>
        <w:numPr>
          <w:ilvl w:val="0"/>
          <w:numId w:val="4"/>
        </w:numPr>
        <w:spacing w:line="360" w:lineRule="auto"/>
        <w:jc w:val="both"/>
        <w:rPr>
          <w:rFonts w:ascii="Times New Roman" w:hAnsi="Times New Roman" w:cs="Times New Roman"/>
          <w:sz w:val="28"/>
          <w:szCs w:val="28"/>
        </w:rPr>
      </w:pPr>
      <w:r w:rsidRPr="00424444">
        <w:rPr>
          <w:rFonts w:ascii="Times New Roman" w:hAnsi="Times New Roman" w:cs="Times New Roman"/>
          <w:sz w:val="28"/>
          <w:szCs w:val="28"/>
        </w:rPr>
        <w:t xml:space="preserve">Brodin, “Bridgeport Music Inc. v. Dimension Films: The Death of the Substantial Similarity Test in Digital Sampling Cases,” Minnesota Journal of Law, Science &amp; Technology, Vol. 6, Issue 2 (2005). </w:t>
      </w:r>
    </w:p>
    <w:p w14:paraId="18CF6591" w14:textId="6E1CDA50" w:rsidR="00387E2B" w:rsidRPr="00424444" w:rsidRDefault="00387E2B" w:rsidP="00424444">
      <w:pPr>
        <w:numPr>
          <w:ilvl w:val="0"/>
          <w:numId w:val="4"/>
        </w:numPr>
        <w:spacing w:line="360" w:lineRule="auto"/>
        <w:jc w:val="both"/>
        <w:rPr>
          <w:rFonts w:ascii="Times New Roman" w:hAnsi="Times New Roman" w:cs="Times New Roman"/>
          <w:sz w:val="28"/>
          <w:szCs w:val="28"/>
        </w:rPr>
      </w:pPr>
      <w:r w:rsidRPr="00424444">
        <w:rPr>
          <w:rFonts w:ascii="Times New Roman" w:hAnsi="Times New Roman" w:cs="Times New Roman"/>
          <w:sz w:val="28"/>
          <w:szCs w:val="28"/>
        </w:rPr>
        <w:t xml:space="preserve">Matthew Brodin, Bridgeport Music, Inc. v. Dimension Films: The Death of the Substantial Similarity Test in Digital Sampling Copyright Infringement Claims – The Sixth Circuit’s Flawed Attempt at a Bright-Line Rule, 6 MINN. J.L. SCI. &amp; TECH. 825 (2005). </w:t>
      </w:r>
    </w:p>
    <w:p w14:paraId="71376EEB" w14:textId="18F05F88" w:rsidR="00E07D17" w:rsidRPr="00424444" w:rsidRDefault="00387E2B" w:rsidP="00424444">
      <w:pPr>
        <w:numPr>
          <w:ilvl w:val="0"/>
          <w:numId w:val="4"/>
        </w:numPr>
        <w:spacing w:line="360" w:lineRule="auto"/>
        <w:jc w:val="both"/>
        <w:rPr>
          <w:rFonts w:ascii="Times New Roman" w:hAnsi="Times New Roman" w:cs="Times New Roman"/>
          <w:sz w:val="28"/>
          <w:szCs w:val="28"/>
        </w:rPr>
      </w:pPr>
      <w:r w:rsidRPr="00424444">
        <w:rPr>
          <w:rFonts w:ascii="Times New Roman" w:hAnsi="Times New Roman" w:cs="Times New Roman"/>
          <w:sz w:val="28"/>
          <w:szCs w:val="28"/>
        </w:rPr>
        <w:t xml:space="preserve">Tuff ‘N’ Rumble Mgmt., Inc. v. Profile Records, Inc., 1997 WL 158364 (S.D.N.Y. Apr. 2, 1997). </w:t>
      </w:r>
    </w:p>
    <w:sectPr w:rsidR="00E07D17" w:rsidRPr="0042444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225AE" w14:textId="77777777" w:rsidR="005158ED" w:rsidRDefault="005158ED" w:rsidP="00424444">
      <w:pPr>
        <w:spacing w:after="0" w:line="240" w:lineRule="auto"/>
      </w:pPr>
      <w:r>
        <w:separator/>
      </w:r>
    </w:p>
  </w:endnote>
  <w:endnote w:type="continuationSeparator" w:id="0">
    <w:p w14:paraId="6AC6C627" w14:textId="77777777" w:rsidR="005158ED" w:rsidRDefault="005158ED" w:rsidP="004244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A72E6" w14:textId="77777777" w:rsidR="005158ED" w:rsidRDefault="005158ED" w:rsidP="00424444">
      <w:pPr>
        <w:spacing w:after="0" w:line="240" w:lineRule="auto"/>
      </w:pPr>
      <w:r>
        <w:separator/>
      </w:r>
    </w:p>
  </w:footnote>
  <w:footnote w:type="continuationSeparator" w:id="0">
    <w:p w14:paraId="346E27C3" w14:textId="77777777" w:rsidR="005158ED" w:rsidRDefault="005158ED" w:rsidP="00424444">
      <w:pPr>
        <w:spacing w:after="0" w:line="240" w:lineRule="auto"/>
      </w:pPr>
      <w:r>
        <w:continuationSeparator/>
      </w:r>
    </w:p>
  </w:footnote>
  <w:footnote w:id="1">
    <w:p w14:paraId="088759C8" w14:textId="17C03256" w:rsidR="00424444" w:rsidRDefault="00424444">
      <w:pPr>
        <w:pStyle w:val="FootnoteText"/>
      </w:pPr>
      <w:r>
        <w:rPr>
          <w:rStyle w:val="FootnoteReference"/>
        </w:rPr>
        <w:footnoteRef/>
      </w:r>
      <w:r>
        <w:t xml:space="preserve">  Mahek Thacker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17C23"/>
    <w:multiLevelType w:val="hybridMultilevel"/>
    <w:tmpl w:val="4858D5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FB74BC"/>
    <w:multiLevelType w:val="multilevel"/>
    <w:tmpl w:val="380C8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53777D3"/>
    <w:multiLevelType w:val="multilevel"/>
    <w:tmpl w:val="667615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27B2AAE"/>
    <w:multiLevelType w:val="multilevel"/>
    <w:tmpl w:val="345AE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646556"/>
    <w:multiLevelType w:val="multilevel"/>
    <w:tmpl w:val="E05605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C871A6D"/>
    <w:multiLevelType w:val="hybridMultilevel"/>
    <w:tmpl w:val="17DA5F8A"/>
    <w:lvl w:ilvl="0" w:tplc="1308641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9B0D02"/>
    <w:multiLevelType w:val="multilevel"/>
    <w:tmpl w:val="52B0A5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00877850">
    <w:abstractNumId w:val="1"/>
  </w:num>
  <w:num w:numId="2" w16cid:durableId="1508864519">
    <w:abstractNumId w:val="3"/>
  </w:num>
  <w:num w:numId="3" w16cid:durableId="1476558446">
    <w:abstractNumId w:val="4"/>
  </w:num>
  <w:num w:numId="4" w16cid:durableId="400636702">
    <w:abstractNumId w:val="2"/>
  </w:num>
  <w:num w:numId="5" w16cid:durableId="1054309621">
    <w:abstractNumId w:val="0"/>
  </w:num>
  <w:num w:numId="6" w16cid:durableId="1774083918">
    <w:abstractNumId w:val="5"/>
  </w:num>
  <w:num w:numId="7" w16cid:durableId="15219659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D17"/>
    <w:rsid w:val="00010C1F"/>
    <w:rsid w:val="000143C2"/>
    <w:rsid w:val="00143F7A"/>
    <w:rsid w:val="00295AD3"/>
    <w:rsid w:val="002B2B98"/>
    <w:rsid w:val="00387E2B"/>
    <w:rsid w:val="00405AAB"/>
    <w:rsid w:val="00424444"/>
    <w:rsid w:val="004D1207"/>
    <w:rsid w:val="005158ED"/>
    <w:rsid w:val="005213A9"/>
    <w:rsid w:val="0054562C"/>
    <w:rsid w:val="00553D4B"/>
    <w:rsid w:val="005A350F"/>
    <w:rsid w:val="00715C8E"/>
    <w:rsid w:val="007F7E37"/>
    <w:rsid w:val="00834C5C"/>
    <w:rsid w:val="0088764B"/>
    <w:rsid w:val="0092301E"/>
    <w:rsid w:val="00A11740"/>
    <w:rsid w:val="00AD5EB4"/>
    <w:rsid w:val="00B40CC6"/>
    <w:rsid w:val="00BD3142"/>
    <w:rsid w:val="00C8637D"/>
    <w:rsid w:val="00CF2B38"/>
    <w:rsid w:val="00D6096B"/>
    <w:rsid w:val="00DF049B"/>
    <w:rsid w:val="00E07D17"/>
    <w:rsid w:val="00F22A04"/>
    <w:rsid w:val="00F71CEF"/>
    <w:rsid w:val="00F72762"/>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3447A"/>
  <w15:chartTrackingRefBased/>
  <w15:docId w15:val="{40BAB353-40DE-4B64-BD61-DE6B2B827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2A04"/>
  </w:style>
  <w:style w:type="paragraph" w:styleId="Heading1">
    <w:name w:val="heading 1"/>
    <w:basedOn w:val="Normal"/>
    <w:next w:val="Normal"/>
    <w:link w:val="Heading1Char"/>
    <w:uiPriority w:val="9"/>
    <w:qFormat/>
    <w:rsid w:val="00E07D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7D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7D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7D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7D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7D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7D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7D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7D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7D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7D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7D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7D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7D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7D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7D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7D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7D17"/>
    <w:rPr>
      <w:rFonts w:eastAsiaTheme="majorEastAsia" w:cstheme="majorBidi"/>
      <w:color w:val="272727" w:themeColor="text1" w:themeTint="D8"/>
    </w:rPr>
  </w:style>
  <w:style w:type="paragraph" w:styleId="Title">
    <w:name w:val="Title"/>
    <w:basedOn w:val="Normal"/>
    <w:next w:val="Normal"/>
    <w:link w:val="TitleChar"/>
    <w:uiPriority w:val="10"/>
    <w:qFormat/>
    <w:rsid w:val="00E07D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7D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7D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7D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7D17"/>
    <w:pPr>
      <w:spacing w:before="160"/>
      <w:jc w:val="center"/>
    </w:pPr>
    <w:rPr>
      <w:i/>
      <w:iCs/>
      <w:color w:val="404040" w:themeColor="text1" w:themeTint="BF"/>
    </w:rPr>
  </w:style>
  <w:style w:type="character" w:customStyle="1" w:styleId="QuoteChar">
    <w:name w:val="Quote Char"/>
    <w:basedOn w:val="DefaultParagraphFont"/>
    <w:link w:val="Quote"/>
    <w:uiPriority w:val="29"/>
    <w:rsid w:val="00E07D17"/>
    <w:rPr>
      <w:i/>
      <w:iCs/>
      <w:color w:val="404040" w:themeColor="text1" w:themeTint="BF"/>
    </w:rPr>
  </w:style>
  <w:style w:type="paragraph" w:styleId="ListParagraph">
    <w:name w:val="List Paragraph"/>
    <w:basedOn w:val="Normal"/>
    <w:uiPriority w:val="34"/>
    <w:qFormat/>
    <w:rsid w:val="00E07D17"/>
    <w:pPr>
      <w:ind w:left="720"/>
      <w:contextualSpacing/>
    </w:pPr>
  </w:style>
  <w:style w:type="character" w:styleId="IntenseEmphasis">
    <w:name w:val="Intense Emphasis"/>
    <w:basedOn w:val="DefaultParagraphFont"/>
    <w:uiPriority w:val="21"/>
    <w:qFormat/>
    <w:rsid w:val="00E07D17"/>
    <w:rPr>
      <w:i/>
      <w:iCs/>
      <w:color w:val="0F4761" w:themeColor="accent1" w:themeShade="BF"/>
    </w:rPr>
  </w:style>
  <w:style w:type="paragraph" w:styleId="IntenseQuote">
    <w:name w:val="Intense Quote"/>
    <w:basedOn w:val="Normal"/>
    <w:next w:val="Normal"/>
    <w:link w:val="IntenseQuoteChar"/>
    <w:uiPriority w:val="30"/>
    <w:qFormat/>
    <w:rsid w:val="00E07D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7D17"/>
    <w:rPr>
      <w:i/>
      <w:iCs/>
      <w:color w:val="0F4761" w:themeColor="accent1" w:themeShade="BF"/>
    </w:rPr>
  </w:style>
  <w:style w:type="character" w:styleId="IntenseReference">
    <w:name w:val="Intense Reference"/>
    <w:basedOn w:val="DefaultParagraphFont"/>
    <w:uiPriority w:val="32"/>
    <w:qFormat/>
    <w:rsid w:val="00E07D17"/>
    <w:rPr>
      <w:b/>
      <w:bCs/>
      <w:smallCaps/>
      <w:color w:val="0F4761" w:themeColor="accent1" w:themeShade="BF"/>
      <w:spacing w:val="5"/>
    </w:rPr>
  </w:style>
  <w:style w:type="paragraph" w:styleId="FootnoteText">
    <w:name w:val="footnote text"/>
    <w:basedOn w:val="Normal"/>
    <w:link w:val="FootnoteTextChar"/>
    <w:uiPriority w:val="99"/>
    <w:semiHidden/>
    <w:unhideWhenUsed/>
    <w:rsid w:val="0042444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24444"/>
    <w:rPr>
      <w:sz w:val="20"/>
      <w:szCs w:val="20"/>
    </w:rPr>
  </w:style>
  <w:style w:type="character" w:styleId="FootnoteReference">
    <w:name w:val="footnote reference"/>
    <w:basedOn w:val="DefaultParagraphFont"/>
    <w:uiPriority w:val="99"/>
    <w:semiHidden/>
    <w:unhideWhenUsed/>
    <w:rsid w:val="0042444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192</TotalTime>
  <Pages>7</Pages>
  <Words>1591</Words>
  <Characters>9074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Mahek Thacker</dc:creator>
  <cp:keywords/>
  <dc:description/>
  <cp:lastModifiedBy>Aman Shakya</cp:lastModifiedBy>
  <cp:revision>12</cp:revision>
  <dcterms:created xsi:type="dcterms:W3CDTF">2026-05-21T17:07:00Z</dcterms:created>
  <dcterms:modified xsi:type="dcterms:W3CDTF">2026-08-12T11:14:00Z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18390ed4-1d78-44a6-929a-153778840ef5</vt:lpwstr>
  </property>
</Properties>
</file>