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DD025" w14:textId="77777777" w:rsidR="004F13FB" w:rsidRDefault="004F13FB" w:rsidP="004F13FB">
      <w:pPr>
        <w:pStyle w:val="Heading1"/>
        <w:spacing w:after="280"/>
      </w:pPr>
      <w:r w:rsidRPr="004F13FB">
        <w:t>No Semen, No Justice?</w:t>
      </w:r>
    </w:p>
    <w:p w14:paraId="75879166" w14:textId="77777777" w:rsidR="004F13FB" w:rsidRPr="004F13FB" w:rsidRDefault="004F13FB" w:rsidP="004F13FB">
      <w:pPr>
        <w:pStyle w:val="Heading2"/>
        <w:jc w:val="center"/>
        <w:rPr>
          <w:sz w:val="28"/>
          <w:szCs w:val="28"/>
        </w:rPr>
      </w:pPr>
      <w:r w:rsidRPr="004F13FB">
        <w:rPr>
          <w:sz w:val="28"/>
          <w:szCs w:val="28"/>
        </w:rPr>
        <w:t>Misunderstanding Evidence in Rape Cases</w:t>
      </w:r>
    </w:p>
    <w:p w14:paraId="48D9ADFF" w14:textId="72FD2BD5" w:rsidR="00E10895" w:rsidRDefault="00000000">
      <w:pPr>
        <w:pStyle w:val="Heading2"/>
      </w:pPr>
      <w:r>
        <w:t>I. Introduction</w:t>
      </w:r>
    </w:p>
    <w:p w14:paraId="61F4DF5C" w14:textId="19634923" w:rsidR="00E10895" w:rsidRDefault="00000000">
      <w:pPr>
        <w:spacing w:after="160" w:line="276" w:lineRule="auto"/>
        <w:jc w:val="both"/>
      </w:pPr>
      <w:r>
        <w:t xml:space="preserve">Imagine a survivor of rape who </w:t>
      </w:r>
      <w:r w:rsidR="00DF10A7">
        <w:t>filed a case</w:t>
      </w:r>
      <w:r>
        <w:t>. She is medically examined</w:t>
      </w:r>
      <w:r w:rsidR="00DF10A7">
        <w:t xml:space="preserve"> and no semen was found</w:t>
      </w:r>
      <w:r>
        <w:t>. The investigating officer,</w:t>
      </w:r>
      <w:r w:rsidR="002C2A26">
        <w:t xml:space="preserve"> relying on common belief </w:t>
      </w:r>
      <w:r>
        <w:t>concludes that penetration did not occur.</w:t>
      </w:r>
      <w:r w:rsidR="00003D04">
        <w:t xml:space="preserve"> </w:t>
      </w:r>
      <w:r w:rsidR="00097818">
        <w:t>D</w:t>
      </w:r>
      <w:r>
        <w:t xml:space="preserve">efence </w:t>
      </w:r>
      <w:r w:rsidR="00603FDB">
        <w:t>will argue that</w:t>
      </w:r>
      <w:r>
        <w:t xml:space="preserve"> the absence of semen</w:t>
      </w:r>
      <w:r w:rsidR="006F69B5">
        <w:t xml:space="preserve"> means</w:t>
      </w:r>
      <w:r>
        <w:t xml:space="preserve"> no rape took place. The survivor</w:t>
      </w:r>
      <w:r w:rsidR="006F69B5">
        <w:t xml:space="preserve"> arguments are</w:t>
      </w:r>
      <w:r w:rsidR="002C2A26">
        <w:t xml:space="preserve"> </w:t>
      </w:r>
      <w:r>
        <w:t xml:space="preserve">not </w:t>
      </w:r>
      <w:r w:rsidR="006F69B5">
        <w:t xml:space="preserve">listened </w:t>
      </w:r>
      <w:r>
        <w:t>because a biological event that the law does not require for the offence to be complete was absent from the forensic report.</w:t>
      </w:r>
    </w:p>
    <w:p w14:paraId="0A29B074" w14:textId="79A8F84B" w:rsidR="00E10895" w:rsidRDefault="00000000">
      <w:pPr>
        <w:spacing w:after="160" w:line="276" w:lineRule="auto"/>
        <w:jc w:val="both"/>
      </w:pPr>
      <w:r>
        <w:t xml:space="preserve">The law is </w:t>
      </w:r>
      <w:r w:rsidR="00FC174F">
        <w:t>very clear and leaves no doubt that</w:t>
      </w:r>
      <w:r>
        <w:t xml:space="preserve"> it is penetration without consent, not ejaculation, that defines rape.</w:t>
      </w:r>
      <w:r>
        <w:rPr>
          <w:rStyle w:val="FootnoteReference"/>
        </w:rPr>
        <w:footnoteReference w:id="1"/>
      </w:r>
      <w:r w:rsidR="0054492F">
        <w:t>Three</w:t>
      </w:r>
      <w:r>
        <w:t xml:space="preserve"> cases </w:t>
      </w:r>
      <w:r w:rsidR="00FC174F">
        <w:t xml:space="preserve">are </w:t>
      </w:r>
      <w:r>
        <w:t>examined in this article demonstrate both how</w:t>
      </w:r>
      <w:r w:rsidR="00FC174F">
        <w:t xml:space="preserve"> this wrong beliefs are used</w:t>
      </w:r>
      <w:r>
        <w:t xml:space="preserve"> in practice and how courts should </w:t>
      </w:r>
      <w:r w:rsidR="00FC174F">
        <w:t>respond to</w:t>
      </w:r>
      <w:r w:rsidR="00B42C11">
        <w:t xml:space="preserve"> it while</w:t>
      </w:r>
      <w:r>
        <w:t xml:space="preserve"> correctly applying the law.</w:t>
      </w:r>
    </w:p>
    <w:p w14:paraId="7C63186C" w14:textId="77777777" w:rsidR="00E10895" w:rsidRDefault="00000000">
      <w:pPr>
        <w:pStyle w:val="Heading2"/>
      </w:pPr>
      <w:r>
        <w:t>II. The Legal Position: Penetration, Not Ejaculation</w:t>
      </w:r>
    </w:p>
    <w:p w14:paraId="00ACCF9D" w14:textId="2E5331B7" w:rsidR="00E10895" w:rsidRDefault="00015D22">
      <w:pPr>
        <w:spacing w:after="160" w:line="276" w:lineRule="auto"/>
        <w:jc w:val="both"/>
      </w:pPr>
      <w:r>
        <w:t xml:space="preserve">Rape has been defined in the Indian Penal Code 1860 (amended by the Criminal Law Amendment Act 2013) and under the Bharatiya Nyaya Sanhita 2023, both of which refer to the act of  penetration. As per the </w:t>
      </w:r>
      <w:r>
        <w:rPr>
          <w:i/>
          <w:iCs/>
        </w:rPr>
        <w:t>State of UP v Babul Nath judgement</w:t>
      </w:r>
      <w:r>
        <w:t xml:space="preserve"> even the slightest penetration constitute a rape.</w:t>
      </w:r>
      <w:r>
        <w:rPr>
          <w:rStyle w:val="FootnoteReference"/>
        </w:rPr>
        <w:footnoteReference w:id="2"/>
      </w:r>
      <w:r>
        <w:t xml:space="preserve"> In </w:t>
      </w:r>
      <w:r>
        <w:rPr>
          <w:i/>
          <w:iCs/>
        </w:rPr>
        <w:t>State of Punjab v Gurmit Singh</w:t>
      </w:r>
      <w:r>
        <w:t>, the Court held that the person can be convicted for rape only on the basis of the survivor trustworthy statement, without supporting medical evidence.</w:t>
      </w:r>
      <w:r>
        <w:rPr>
          <w:rStyle w:val="FootnoteReference"/>
        </w:rPr>
        <w:footnoteReference w:id="3"/>
      </w:r>
      <w:r>
        <w:t xml:space="preserve">Further in </w:t>
      </w:r>
      <w:r>
        <w:rPr>
          <w:i/>
          <w:iCs/>
        </w:rPr>
        <w:t xml:space="preserve">Parminder alias </w:t>
      </w:r>
      <w:proofErr w:type="spellStart"/>
      <w:r>
        <w:rPr>
          <w:i/>
          <w:iCs/>
        </w:rPr>
        <w:t>Ladka</w:t>
      </w:r>
      <w:proofErr w:type="spellEnd"/>
      <w:r>
        <w:rPr>
          <w:i/>
          <w:iCs/>
        </w:rPr>
        <w:t xml:space="preserve"> Pola v State of Delhi</w:t>
      </w:r>
      <w:r>
        <w:t>, The legal principle</w:t>
      </w:r>
      <w:r w:rsidR="00221D25">
        <w:t xml:space="preserve"> based on medical science was established that even when there is no physical injuries to the private part or no semen stains then also rape can occur</w:t>
      </w:r>
      <w:r>
        <w:t>."</w:t>
      </w:r>
      <w:r>
        <w:rPr>
          <w:rStyle w:val="FootnoteReference"/>
        </w:rPr>
        <w:footnoteReference w:id="4"/>
      </w:r>
    </w:p>
    <w:p w14:paraId="00A56E90" w14:textId="1AF13DE8" w:rsidR="00E10895" w:rsidRDefault="00000000">
      <w:pPr>
        <w:spacing w:after="160" w:line="276" w:lineRule="auto"/>
        <w:jc w:val="both"/>
      </w:pPr>
      <w:r>
        <w:t xml:space="preserve">As </w:t>
      </w:r>
      <w:r w:rsidR="00EC5ADE">
        <w:t>per the</w:t>
      </w:r>
      <w:r>
        <w:t xml:space="preserve"> Supreme Court </w:t>
      </w:r>
      <w:r w:rsidR="00EC5ADE">
        <w:t xml:space="preserve">decision </w:t>
      </w:r>
      <w:r>
        <w:t xml:space="preserve">in </w:t>
      </w:r>
      <w:r>
        <w:rPr>
          <w:i/>
          <w:iCs/>
        </w:rPr>
        <w:t>Wahid Khan v State of Madhya Pradesh</w:t>
      </w:r>
      <w:r>
        <w:t xml:space="preserve">, medical evidence is only </w:t>
      </w:r>
      <w:r w:rsidR="00621805">
        <w:t xml:space="preserve">supporting evidence in a rape case and </w:t>
      </w:r>
      <w:r>
        <w:t xml:space="preserve">its absence does not </w:t>
      </w:r>
      <w:r w:rsidR="00621805">
        <w:t>automatically means that no rape occurred or the survivor is lying</w:t>
      </w:r>
      <w:r>
        <w:t>.</w:t>
      </w:r>
      <w:r>
        <w:rPr>
          <w:rStyle w:val="FootnoteReference"/>
        </w:rPr>
        <w:footnoteReference w:id="5"/>
      </w:r>
    </w:p>
    <w:p w14:paraId="658F4A73" w14:textId="77777777" w:rsidR="00E10895" w:rsidRDefault="00000000">
      <w:pPr>
        <w:pStyle w:val="Heading2"/>
      </w:pPr>
      <w:r>
        <w:t>III. The Fallacy in Action: A Case-by-Case Analysis</w:t>
      </w:r>
    </w:p>
    <w:p w14:paraId="452815B3" w14:textId="77777777" w:rsidR="00E10895" w:rsidRDefault="00000000">
      <w:pPr>
        <w:spacing w:before="160" w:after="80"/>
      </w:pPr>
      <w:r>
        <w:rPr>
          <w:b/>
          <w:bCs/>
        </w:rPr>
        <w:t xml:space="preserve">A. The </w:t>
      </w:r>
      <w:proofErr w:type="spellStart"/>
      <w:r>
        <w:rPr>
          <w:b/>
          <w:bCs/>
        </w:rPr>
        <w:t>Hathras</w:t>
      </w:r>
      <w:proofErr w:type="spellEnd"/>
      <w:r>
        <w:rPr>
          <w:b/>
          <w:bCs/>
        </w:rPr>
        <w:t xml:space="preserve"> Case (2020–2023): State-Sanctioned Fallacy</w:t>
      </w:r>
    </w:p>
    <w:p w14:paraId="2DD53F2F" w14:textId="262E84E3" w:rsidR="00E10895" w:rsidRDefault="00000000">
      <w:pPr>
        <w:spacing w:after="160" w:line="276" w:lineRule="auto"/>
        <w:jc w:val="both"/>
      </w:pPr>
      <w:r>
        <w:t xml:space="preserve">The </w:t>
      </w:r>
      <w:proofErr w:type="spellStart"/>
      <w:r>
        <w:t>Hathras</w:t>
      </w:r>
      <w:proofErr w:type="spellEnd"/>
      <w:r>
        <w:t xml:space="preserve"> gang rape and murder case is the most prominent example of the semen fallacy operating at an institutional level.</w:t>
      </w:r>
      <w:r w:rsidR="00097818">
        <w:t xml:space="preserve"> A</w:t>
      </w:r>
      <w:r>
        <w:t xml:space="preserve"> 19-year-old Dalit woman alleged she was dragged into fields</w:t>
      </w:r>
      <w:r w:rsidR="00097818">
        <w:t xml:space="preserve"> </w:t>
      </w:r>
      <w:r>
        <w:lastRenderedPageBreak/>
        <w:t>and gang-raped by four men. She died from her injuries two weeks later. Her dying declaration named all four accused.</w:t>
      </w:r>
      <w:r>
        <w:rPr>
          <w:rStyle w:val="FootnoteReference"/>
        </w:rPr>
        <w:footnoteReference w:id="6"/>
      </w:r>
    </w:p>
    <w:p w14:paraId="4D84839C" w14:textId="540A270B" w:rsidR="00E10895" w:rsidRDefault="00000000">
      <w:pPr>
        <w:spacing w:after="160" w:line="276" w:lineRule="auto"/>
        <w:jc w:val="both"/>
      </w:pPr>
      <w:r>
        <w:t>The trial concluded on 2 March 2023 before</w:t>
      </w:r>
      <w:r w:rsidR="00097818">
        <w:t xml:space="preserve"> </w:t>
      </w:r>
      <w:r>
        <w:t xml:space="preserve">the Special SC/ST Court. Three of the four accused Ramu, Luvkush, and Ravi were acquitted of all charges. The fourth, Sandeep, was convicted only for culpable homicide not amounting to murder under the SC/ST Act, but </w:t>
      </w:r>
      <w:r>
        <w:rPr>
          <w:b/>
          <w:bCs/>
        </w:rPr>
        <w:t>not</w:t>
      </w:r>
      <w:r>
        <w:t xml:space="preserve"> for rape</w:t>
      </w:r>
      <w:r w:rsidR="00BB0A0F">
        <w:t xml:space="preserve"> because no semen was found in the investigation</w:t>
      </w:r>
      <w:r>
        <w:t>.</w:t>
      </w:r>
      <w:r>
        <w:rPr>
          <w:rStyle w:val="FootnoteReference"/>
        </w:rPr>
        <w:footnoteReference w:id="7"/>
      </w:r>
      <w:r>
        <w:t xml:space="preserve"> No accused was convicted for the sexual offence alleged.</w:t>
      </w:r>
    </w:p>
    <w:p w14:paraId="6FB9C931" w14:textId="77777777" w:rsidR="00E10895" w:rsidRDefault="00000000">
      <w:pPr>
        <w:spacing w:before="160" w:after="80"/>
      </w:pPr>
      <w:r>
        <w:rPr>
          <w:b/>
          <w:bCs/>
        </w:rPr>
        <w:t>B. State of Uttarakhand v Mohd. Azhar @ Antee (2018): Death Sentence Overturned</w:t>
      </w:r>
    </w:p>
    <w:p w14:paraId="45684E9E" w14:textId="77777777" w:rsidR="00E10895" w:rsidRDefault="00000000">
      <w:pPr>
        <w:spacing w:after="160" w:line="276" w:lineRule="auto"/>
        <w:jc w:val="both"/>
      </w:pPr>
      <w:r>
        <w:t>A 15-year-old girl went missing on 1 January 2016 and her body was found the next day hanging from a tree in Dehradun. The trial court convicted Mohd. Azhar @ Antee under Sections 302 and 376 IPC and Section 4 of the POCSO Act, sentencing him to death. On appeal, the Uttarakhand High Court bench of Chief Justice Ritu Bahri and Justice Alok Kumar Verma set aside the conviction.</w:t>
      </w:r>
      <w:r>
        <w:rPr>
          <w:rStyle w:val="FootnoteReference"/>
        </w:rPr>
        <w:footnoteReference w:id="8"/>
      </w:r>
    </w:p>
    <w:p w14:paraId="1561C486" w14:textId="61BFAB53" w:rsidR="00E10895" w:rsidRDefault="00000000">
      <w:pPr>
        <w:spacing w:after="160" w:line="276" w:lineRule="auto"/>
        <w:jc w:val="both"/>
      </w:pPr>
      <w:r>
        <w:t>Among the factors cited by the court was the absence of semen in the victim's leggings, despite the presence of blood stains. The bench observed that "the absence of the semen in the leggings when the dead body was recovered makes it more doubtful that the victim had been raped."</w:t>
      </w:r>
      <w:r>
        <w:rPr>
          <w:rStyle w:val="FootnoteReference"/>
        </w:rPr>
        <w:footnoteReference w:id="9"/>
      </w:r>
      <w:r>
        <w:t xml:space="preserve"> The court also questioned the accused's physical capacity to carry out the alleged acts given his documented injuries, and found the DNA evidence inadmissible due to chain-of-custody concerns.</w:t>
      </w:r>
    </w:p>
    <w:p w14:paraId="54F01298" w14:textId="77777777" w:rsidR="00E10895" w:rsidRDefault="00000000">
      <w:pPr>
        <w:spacing w:before="160" w:after="80"/>
      </w:pPr>
      <w:r>
        <w:rPr>
          <w:b/>
          <w:bCs/>
        </w:rPr>
        <w:t>D. Nirmal Kumar v State of UP (2026): Acquittal for the Right Reasons</w:t>
      </w:r>
    </w:p>
    <w:p w14:paraId="1CE26DCC" w14:textId="24F6C3E1" w:rsidR="00E10895" w:rsidRDefault="00755AD0">
      <w:pPr>
        <w:spacing w:after="160" w:line="276" w:lineRule="auto"/>
        <w:jc w:val="both"/>
      </w:pPr>
      <w:r>
        <w:rPr>
          <w:i/>
          <w:iCs/>
        </w:rPr>
        <w:t>The Supreme Court in Nirmal Kumar v State of UP</w:t>
      </w:r>
      <w:r>
        <w:t xml:space="preserve"> held that there are two ways to use forensic evidence of semen in a rape cases which is one legal and other way is illegal.</w:t>
      </w:r>
      <w:r>
        <w:rPr>
          <w:rStyle w:val="FootnoteReference"/>
        </w:rPr>
        <w:footnoteReference w:id="10"/>
      </w:r>
      <w:r>
        <w:t xml:space="preserve"> In this case, semen was found on the victim  a minor but the forensic report failed to match that semen to the accused, Nirmal Kumar. The court rightly held that the forensic report was "evidence of sexual contact... but not by itself of the charge that the appellant Nirmal Kumar committed any rape." The court called the failure to conduct DNA matching a "serious lapse" by the investigating police.</w:t>
      </w:r>
      <w:r w:rsidR="00693439">
        <w:t xml:space="preserve"> </w:t>
      </w:r>
      <w:r w:rsidR="00000000">
        <w:t>Nirmal Kumar had served eleven years in prison before the High Court acquitted him.</w:t>
      </w:r>
      <w:r w:rsidR="00000000">
        <w:rPr>
          <w:rStyle w:val="FootnoteReference"/>
        </w:rPr>
        <w:footnoteReference w:id="11"/>
      </w:r>
      <w:r w:rsidR="00000000">
        <w:t xml:space="preserve"> </w:t>
      </w:r>
    </w:p>
    <w:p w14:paraId="129723E8" w14:textId="77777777" w:rsidR="00E10895" w:rsidRDefault="00000000">
      <w:pPr>
        <w:pStyle w:val="Heading2"/>
      </w:pPr>
      <w:r>
        <w:t>VI. What Must Change</w:t>
      </w:r>
    </w:p>
    <w:p w14:paraId="4B4932BA" w14:textId="5834935D" w:rsidR="00E10895" w:rsidRDefault="00000000">
      <w:pPr>
        <w:spacing w:after="160" w:line="276" w:lineRule="auto"/>
        <w:jc w:val="both"/>
      </w:pPr>
      <w:r>
        <w:t xml:space="preserve">The cases above </w:t>
      </w:r>
      <w:r w:rsidR="00755AD0">
        <w:t>show</w:t>
      </w:r>
      <w:r>
        <w:t xml:space="preserve"> a gap </w:t>
      </w:r>
      <w:r w:rsidR="00693439">
        <w:t>and t</w:t>
      </w:r>
      <w:r>
        <w:t xml:space="preserve">hree reforms are </w:t>
      </w:r>
      <w:r w:rsidR="00A42BFA">
        <w:t>necessary</w:t>
      </w:r>
      <w:r>
        <w:t>. First,</w:t>
      </w:r>
      <w:r w:rsidR="00A42BFA" w:rsidRPr="00A42BFA">
        <w:t xml:space="preserve"> forensic examiners need training to write reports that clearly explain what absent semen means and what it does not</w:t>
      </w:r>
      <w:r>
        <w:t xml:space="preserve">. A </w:t>
      </w:r>
      <w:r>
        <w:lastRenderedPageBreak/>
        <w:t>report</w:t>
      </w:r>
      <w:r w:rsidR="00A42BFA">
        <w:t xml:space="preserve"> that simply says </w:t>
      </w:r>
      <w:r>
        <w:t>"no semen found" without</w:t>
      </w:r>
      <w:r w:rsidR="00A42BFA">
        <w:t xml:space="preserve"> noting </w:t>
      </w:r>
      <w:r>
        <w:t>that semen is legally irrelevant is misleading.</w:t>
      </w:r>
      <w:r>
        <w:rPr>
          <w:rStyle w:val="FootnoteReference"/>
        </w:rPr>
        <w:footnoteReference w:id="12"/>
      </w:r>
    </w:p>
    <w:p w14:paraId="522BF34B" w14:textId="539F078B" w:rsidR="00E10895" w:rsidRDefault="00000000">
      <w:pPr>
        <w:spacing w:after="160" w:line="276" w:lineRule="auto"/>
        <w:jc w:val="both"/>
      </w:pPr>
      <w:r>
        <w:t>Second,</w:t>
      </w:r>
      <w:r w:rsidR="00A42BFA" w:rsidRPr="00A42BFA">
        <w:t xml:space="preserve"> police investigation protocols must change to prevent investigating officers from using absent semen as a reason to distrust a survivor or weaken a prosecution</w:t>
      </w:r>
      <w:r>
        <w:t>.</w:t>
      </w:r>
      <w:r>
        <w:rPr>
          <w:rStyle w:val="FootnoteReference"/>
        </w:rPr>
        <w:footnoteReference w:id="13"/>
      </w:r>
      <w:r w:rsidR="00A42BFA" w:rsidRPr="00A42BFA">
        <w:t xml:space="preserve"> The 2013 amendments established a presumption of absent consent in specific situations, and the Bharatiya </w:t>
      </w:r>
      <w:proofErr w:type="spellStart"/>
      <w:r w:rsidR="00A42BFA" w:rsidRPr="00A42BFA">
        <w:t>Sakshya</w:t>
      </w:r>
      <w:proofErr w:type="spellEnd"/>
      <w:r w:rsidR="00A42BFA" w:rsidRPr="00A42BFA">
        <w:t xml:space="preserve"> </w:t>
      </w:r>
      <w:proofErr w:type="spellStart"/>
      <w:r w:rsidR="00A42BFA" w:rsidRPr="00A42BFA">
        <w:t>Adhiniyam</w:t>
      </w:r>
      <w:proofErr w:type="spellEnd"/>
      <w:r w:rsidR="00A42BFA" w:rsidRPr="00A42BFA">
        <w:t xml:space="preserve"> 2023 supports this</w:t>
      </w:r>
      <w:r>
        <w:t>.</w:t>
      </w:r>
      <w:r>
        <w:rPr>
          <w:rStyle w:val="FootnoteReference"/>
        </w:rPr>
        <w:footnoteReference w:id="14"/>
      </w:r>
    </w:p>
    <w:p w14:paraId="7B216965" w14:textId="2AE84FB4" w:rsidR="00E10895" w:rsidRDefault="00000000">
      <w:pPr>
        <w:spacing w:after="160" w:line="276" w:lineRule="auto"/>
        <w:jc w:val="both"/>
      </w:pPr>
      <w:r>
        <w:t>Third,</w:t>
      </w:r>
      <w:r w:rsidR="00A42BFA" w:rsidRPr="00A42BFA">
        <w:t xml:space="preserve"> trial courts must consistently follow the Supreme Court's instruction that a rape survivor's testimony is the main evidence in the case and that medical evidence serves only as support</w:t>
      </w:r>
      <w:r>
        <w:t>.</w:t>
      </w:r>
      <w:r>
        <w:rPr>
          <w:rStyle w:val="FootnoteReference"/>
        </w:rPr>
        <w:footnoteReference w:id="15"/>
      </w:r>
      <w:r w:rsidR="00A42BFA" w:rsidRPr="00A42BFA">
        <w:t>A court that acquits based mainly on the absence of semen, without thoroughly considering the survivor's account and other evidence, has not applied the law correctly</w:t>
      </w:r>
      <w:r w:rsidR="00097818">
        <w:t xml:space="preserve"> and is wrong.</w:t>
      </w:r>
    </w:p>
    <w:p w14:paraId="4BD55023" w14:textId="77777777" w:rsidR="00E10895" w:rsidRDefault="00000000">
      <w:pPr>
        <w:pStyle w:val="Heading2"/>
      </w:pPr>
      <w:r>
        <w:t>VII. Conclusion</w:t>
      </w:r>
    </w:p>
    <w:p w14:paraId="51701FB6" w14:textId="1E1B87D4" w:rsidR="00E10895" w:rsidRDefault="00000000">
      <w:pPr>
        <w:spacing w:after="160" w:line="276" w:lineRule="auto"/>
        <w:jc w:val="both"/>
      </w:pPr>
      <w:r>
        <w:t xml:space="preserve">The cases examined in this article </w:t>
      </w:r>
      <w:proofErr w:type="spellStart"/>
      <w:r>
        <w:t>Hathras</w:t>
      </w:r>
      <w:proofErr w:type="spellEnd"/>
      <w:r>
        <w:t>, Mohd. Azhar,</w:t>
      </w:r>
      <w:r w:rsidR="00A42BFA">
        <w:t xml:space="preserve"> and </w:t>
      </w:r>
      <w:r>
        <w:t xml:space="preserve"> Nirmal Kumar</w:t>
      </w:r>
      <w:r w:rsidR="00A42BFA">
        <w:t xml:space="preserve">  </w:t>
      </w:r>
      <w:r>
        <w:t>together</w:t>
      </w:r>
      <w:r w:rsidR="00A42BFA">
        <w:t xml:space="preserve"> shows</w:t>
      </w:r>
      <w:r>
        <w:t xml:space="preserve"> that the semen fallacy is not</w:t>
      </w:r>
      <w:r w:rsidR="00A42BFA">
        <w:t xml:space="preserve"> just</w:t>
      </w:r>
      <w:r>
        <w:t xml:space="preserve"> a theoretical concern.</w:t>
      </w:r>
      <w:r w:rsidR="003177EB">
        <w:t xml:space="preserve"> </w:t>
      </w:r>
      <w:r>
        <w:t>In each instance, the distortion entered the case through a misunderstanding of the relationship between semen and the legal definition of rape.</w:t>
      </w:r>
    </w:p>
    <w:p w14:paraId="557D7084" w14:textId="07932E91" w:rsidR="00E10895" w:rsidRDefault="00000000">
      <w:pPr>
        <w:spacing w:after="160" w:line="276" w:lineRule="auto"/>
        <w:jc w:val="both"/>
      </w:pPr>
      <w:r>
        <w:t>The law is clear: penetration is the offence; semen is not its proof.</w:t>
      </w:r>
      <w:r w:rsidR="003177EB">
        <w:t xml:space="preserve"> </w:t>
      </w:r>
      <w:r>
        <w:t>What India's justice system must now ensure is that this correct approach becomes the norm, not the exception. For survivors of rape, that consistency is not a procedural detail. It is the difference between justice and its denial.</w:t>
      </w:r>
    </w:p>
    <w:sectPr w:rsidR="00E1089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C30E0" w14:textId="77777777" w:rsidR="00393757" w:rsidRDefault="00393757">
      <w:r>
        <w:separator/>
      </w:r>
    </w:p>
  </w:endnote>
  <w:endnote w:type="continuationSeparator" w:id="0">
    <w:p w14:paraId="7796FEFB" w14:textId="77777777" w:rsidR="00393757" w:rsidRDefault="0039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89BCE" w14:textId="77777777" w:rsidR="00393757" w:rsidRDefault="00393757">
      <w:r>
        <w:separator/>
      </w:r>
    </w:p>
  </w:footnote>
  <w:footnote w:type="continuationSeparator" w:id="0">
    <w:p w14:paraId="281B0520" w14:textId="77777777" w:rsidR="00393757" w:rsidRDefault="00393757">
      <w:r>
        <w:continuationSeparator/>
      </w:r>
    </w:p>
  </w:footnote>
  <w:footnote w:id="1">
    <w:p w14:paraId="67C4BE2F" w14:textId="77777777" w:rsidR="00E10895" w:rsidRDefault="00000000">
      <w:pPr>
        <w:spacing w:after="80"/>
      </w:pPr>
      <w:r>
        <w:rPr>
          <w:rStyle w:val="FootnoteReference"/>
        </w:rPr>
        <w:footnoteRef/>
      </w:r>
      <w:r>
        <w:rPr>
          <w:sz w:val="20"/>
          <w:szCs w:val="20"/>
        </w:rPr>
        <w:t>Indian Penal Code 1860, s 375 (as amended by the Criminal Law Amendment Act 2013); Bharatiya Nyaya Sanhita 2023, s 63.</w:t>
      </w:r>
    </w:p>
  </w:footnote>
  <w:footnote w:id="2">
    <w:p w14:paraId="01C10691" w14:textId="77777777" w:rsidR="00E10895" w:rsidRDefault="00000000">
      <w:pPr>
        <w:spacing w:after="80"/>
      </w:pPr>
      <w:r>
        <w:rPr>
          <w:rStyle w:val="FootnoteReference"/>
        </w:rPr>
        <w:footnoteRef/>
      </w:r>
      <w:r>
        <w:rPr>
          <w:sz w:val="20"/>
          <w:szCs w:val="20"/>
        </w:rPr>
        <w:t>State of UP v Babul Nath (1994) 6 SCC 29.</w:t>
      </w:r>
    </w:p>
  </w:footnote>
  <w:footnote w:id="3">
    <w:p w14:paraId="652594F5" w14:textId="77777777" w:rsidR="00E10895" w:rsidRDefault="00000000">
      <w:pPr>
        <w:spacing w:after="80"/>
      </w:pPr>
      <w:r>
        <w:rPr>
          <w:rStyle w:val="FootnoteReference"/>
        </w:rPr>
        <w:footnoteRef/>
      </w:r>
      <w:r>
        <w:rPr>
          <w:sz w:val="20"/>
          <w:szCs w:val="20"/>
        </w:rPr>
        <w:t>State of Punjab v Gurmit Singh (1996) 2 SCC 384.</w:t>
      </w:r>
    </w:p>
  </w:footnote>
  <w:footnote w:id="4">
    <w:p w14:paraId="6DD06241" w14:textId="77777777" w:rsidR="00E10895" w:rsidRDefault="00000000">
      <w:pPr>
        <w:spacing w:after="80"/>
      </w:pPr>
      <w:r>
        <w:rPr>
          <w:rStyle w:val="FootnoteReference"/>
        </w:rPr>
        <w:footnoteRef/>
      </w:r>
      <w:r>
        <w:rPr>
          <w:sz w:val="20"/>
          <w:szCs w:val="20"/>
        </w:rPr>
        <w:t xml:space="preserve">Parminder alias </w:t>
      </w:r>
      <w:proofErr w:type="spellStart"/>
      <w:r>
        <w:rPr>
          <w:sz w:val="20"/>
          <w:szCs w:val="20"/>
        </w:rPr>
        <w:t>Ladka</w:t>
      </w:r>
      <w:proofErr w:type="spellEnd"/>
      <w:r>
        <w:rPr>
          <w:sz w:val="20"/>
          <w:szCs w:val="20"/>
        </w:rPr>
        <w:t xml:space="preserve"> Pola v State of Delhi (2014) 2 SCC 592.</w:t>
      </w:r>
    </w:p>
  </w:footnote>
  <w:footnote w:id="5">
    <w:p w14:paraId="6E5653FE" w14:textId="77777777" w:rsidR="00E10895" w:rsidRDefault="00000000">
      <w:pPr>
        <w:spacing w:after="80"/>
      </w:pPr>
      <w:r>
        <w:rPr>
          <w:rStyle w:val="FootnoteReference"/>
        </w:rPr>
        <w:footnoteRef/>
      </w:r>
      <w:r>
        <w:rPr>
          <w:sz w:val="20"/>
          <w:szCs w:val="20"/>
        </w:rPr>
        <w:t>Wahid Khan v State of Madhya Pradesh (2010) 2 SCC 9.</w:t>
      </w:r>
    </w:p>
  </w:footnote>
  <w:footnote w:id="6">
    <w:p w14:paraId="00E12533" w14:textId="77777777" w:rsidR="00E10895" w:rsidRDefault="00000000">
      <w:pPr>
        <w:spacing w:after="80"/>
      </w:pPr>
      <w:r>
        <w:rPr>
          <w:rStyle w:val="FootnoteReference"/>
        </w:rPr>
        <w:footnoteRef/>
      </w:r>
      <w:r>
        <w:rPr>
          <w:sz w:val="20"/>
          <w:szCs w:val="20"/>
        </w:rPr>
        <w:t xml:space="preserve">2020 </w:t>
      </w:r>
      <w:proofErr w:type="spellStart"/>
      <w:r>
        <w:rPr>
          <w:sz w:val="20"/>
          <w:szCs w:val="20"/>
        </w:rPr>
        <w:t>Hathras</w:t>
      </w:r>
      <w:proofErr w:type="spellEnd"/>
      <w:r>
        <w:rPr>
          <w:sz w:val="20"/>
          <w:szCs w:val="20"/>
        </w:rPr>
        <w:t xml:space="preserve"> Gang Rape and Murder Case; Special SC/ST Court </w:t>
      </w:r>
      <w:proofErr w:type="spellStart"/>
      <w:r>
        <w:rPr>
          <w:sz w:val="20"/>
          <w:szCs w:val="20"/>
        </w:rPr>
        <w:t>Hathras</w:t>
      </w:r>
      <w:proofErr w:type="spellEnd"/>
      <w:r>
        <w:rPr>
          <w:sz w:val="20"/>
          <w:szCs w:val="20"/>
        </w:rPr>
        <w:t>, Judge Trilok Pal Singh, Judgment dated 2 March 2023.</w:t>
      </w:r>
    </w:p>
  </w:footnote>
  <w:footnote w:id="7">
    <w:p w14:paraId="0902A4DE" w14:textId="77777777" w:rsidR="00E10895" w:rsidRDefault="00000000">
      <w:pPr>
        <w:spacing w:after="80"/>
      </w:pPr>
      <w:r>
        <w:rPr>
          <w:rStyle w:val="FootnoteReference"/>
        </w:rPr>
        <w:footnoteRef/>
      </w:r>
      <w:r>
        <w:rPr>
          <w:sz w:val="20"/>
          <w:szCs w:val="20"/>
        </w:rPr>
        <w:t xml:space="preserve">Special SC/ST Court </w:t>
      </w:r>
      <w:proofErr w:type="spellStart"/>
      <w:r>
        <w:rPr>
          <w:sz w:val="20"/>
          <w:szCs w:val="20"/>
        </w:rPr>
        <w:t>Hathras</w:t>
      </w:r>
      <w:proofErr w:type="spellEnd"/>
      <w:r>
        <w:rPr>
          <w:sz w:val="20"/>
          <w:szCs w:val="20"/>
        </w:rPr>
        <w:t>, Judge Trilok Pal Singh, Judgment dated 2 March 2023.</w:t>
      </w:r>
    </w:p>
  </w:footnote>
  <w:footnote w:id="8">
    <w:p w14:paraId="457B85AE" w14:textId="77777777" w:rsidR="00E10895" w:rsidRDefault="00000000">
      <w:pPr>
        <w:spacing w:after="80"/>
      </w:pPr>
      <w:r>
        <w:rPr>
          <w:rStyle w:val="FootnoteReference"/>
        </w:rPr>
        <w:footnoteRef/>
      </w:r>
      <w:r>
        <w:rPr>
          <w:sz w:val="20"/>
          <w:szCs w:val="20"/>
        </w:rPr>
        <w:t>State of Uttarakhand v Mohd Azhar @ Antee Criminal Reference No 06 of 2018 (Uttarakhand HC, Chief Justice Ritu Bahri and Justice Alok Kumar Verma).</w:t>
      </w:r>
    </w:p>
  </w:footnote>
  <w:footnote w:id="9">
    <w:p w14:paraId="2EC4446C" w14:textId="77777777" w:rsidR="00E10895" w:rsidRDefault="00000000">
      <w:pPr>
        <w:spacing w:after="80"/>
      </w:pPr>
      <w:r>
        <w:rPr>
          <w:rStyle w:val="FootnoteReference"/>
        </w:rPr>
        <w:footnoteRef/>
      </w:r>
      <w:r>
        <w:rPr>
          <w:sz w:val="20"/>
          <w:szCs w:val="20"/>
        </w:rPr>
        <w:t>ibid.</w:t>
      </w:r>
    </w:p>
  </w:footnote>
  <w:footnote w:id="10">
    <w:p w14:paraId="7709B4AC" w14:textId="77777777" w:rsidR="00E10895" w:rsidRDefault="00000000">
      <w:pPr>
        <w:spacing w:after="80"/>
      </w:pPr>
      <w:r>
        <w:rPr>
          <w:rStyle w:val="FootnoteReference"/>
        </w:rPr>
        <w:footnoteRef/>
      </w:r>
      <w:r>
        <w:rPr>
          <w:sz w:val="20"/>
          <w:szCs w:val="20"/>
        </w:rPr>
        <w:t>Nirmal Kumar v State of UP Supreme (Online)(All) 2026 800 (Allahabad HC, 2026).</w:t>
      </w:r>
    </w:p>
  </w:footnote>
  <w:footnote w:id="11">
    <w:p w14:paraId="4A652A16" w14:textId="77777777" w:rsidR="00E10895" w:rsidRDefault="00000000">
      <w:pPr>
        <w:spacing w:after="80"/>
      </w:pPr>
      <w:r>
        <w:rPr>
          <w:rStyle w:val="FootnoteReference"/>
        </w:rPr>
        <w:footnoteRef/>
      </w:r>
      <w:r>
        <w:rPr>
          <w:sz w:val="20"/>
          <w:szCs w:val="20"/>
        </w:rPr>
        <w:t>ibid.</w:t>
      </w:r>
    </w:p>
  </w:footnote>
  <w:footnote w:id="12">
    <w:p w14:paraId="1674794F" w14:textId="77777777" w:rsidR="00E10895" w:rsidRDefault="00000000">
      <w:pPr>
        <w:spacing w:after="80"/>
      </w:pPr>
      <w:r>
        <w:rPr>
          <w:rStyle w:val="FootnoteReference"/>
        </w:rPr>
        <w:footnoteRef/>
      </w:r>
      <w:r>
        <w:rPr>
          <w:sz w:val="20"/>
          <w:szCs w:val="20"/>
        </w:rPr>
        <w:t>Ranjit Hazarika v State of Assam (1998) 8 SCC 635.</w:t>
      </w:r>
    </w:p>
  </w:footnote>
  <w:footnote w:id="13">
    <w:p w14:paraId="0D5E8DA4" w14:textId="77777777" w:rsidR="00E10895" w:rsidRDefault="00000000">
      <w:pPr>
        <w:spacing w:after="80"/>
      </w:pPr>
      <w:r>
        <w:rPr>
          <w:rStyle w:val="FootnoteReference"/>
        </w:rPr>
        <w:footnoteRef/>
      </w:r>
      <w:r>
        <w:rPr>
          <w:sz w:val="20"/>
          <w:szCs w:val="20"/>
        </w:rPr>
        <w:t>Delhi Domestic Working Women's Forum v Union of India (1995) 1 SCC 14.</w:t>
      </w:r>
    </w:p>
  </w:footnote>
  <w:footnote w:id="14">
    <w:p w14:paraId="7F6C7A0E" w14:textId="77777777" w:rsidR="00E10895" w:rsidRDefault="00000000">
      <w:pPr>
        <w:spacing w:after="80"/>
      </w:pPr>
      <w:r>
        <w:rPr>
          <w:rStyle w:val="FootnoteReference"/>
        </w:rPr>
        <w:footnoteRef/>
      </w:r>
      <w:r>
        <w:rPr>
          <w:sz w:val="20"/>
          <w:szCs w:val="20"/>
        </w:rPr>
        <w:t xml:space="preserve">Criminal Law Amendment Act 2013; Indian Evidence Act 1872, s 114A (inserted by Criminal Law Amendment Act 2013); Bharatiya </w:t>
      </w:r>
      <w:proofErr w:type="spellStart"/>
      <w:r>
        <w:rPr>
          <w:sz w:val="20"/>
          <w:szCs w:val="20"/>
        </w:rPr>
        <w:t>Sakshya</w:t>
      </w:r>
      <w:proofErr w:type="spellEnd"/>
      <w:r>
        <w:rPr>
          <w:sz w:val="20"/>
          <w:szCs w:val="20"/>
        </w:rPr>
        <w:t xml:space="preserve"> </w:t>
      </w:r>
      <w:proofErr w:type="spellStart"/>
      <w:r>
        <w:rPr>
          <w:sz w:val="20"/>
          <w:szCs w:val="20"/>
        </w:rPr>
        <w:t>Adhiniyam</w:t>
      </w:r>
      <w:proofErr w:type="spellEnd"/>
      <w:r>
        <w:rPr>
          <w:sz w:val="20"/>
          <w:szCs w:val="20"/>
        </w:rPr>
        <w:t xml:space="preserve"> 2023, s 124.</w:t>
      </w:r>
    </w:p>
  </w:footnote>
  <w:footnote w:id="15">
    <w:p w14:paraId="7F93751A" w14:textId="77777777" w:rsidR="00E10895" w:rsidRDefault="00000000">
      <w:pPr>
        <w:spacing w:after="80"/>
      </w:pPr>
      <w:r>
        <w:rPr>
          <w:rStyle w:val="FootnoteReference"/>
        </w:rPr>
        <w:footnoteRef/>
      </w:r>
      <w:r>
        <w:rPr>
          <w:sz w:val="20"/>
          <w:szCs w:val="20"/>
        </w:rPr>
        <w:t>State of Punjab v Gurmit Singh (1996) 2 SCC 384; State of Rajasthan v NK (2000) 5 SCC 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D0381B"/>
    <w:multiLevelType w:val="hybridMultilevel"/>
    <w:tmpl w:val="4D0C2DFE"/>
    <w:lvl w:ilvl="0" w:tplc="E2DCC34C">
      <w:start w:val="1"/>
      <w:numFmt w:val="bullet"/>
      <w:lvlText w:val="●"/>
      <w:lvlJc w:val="left"/>
      <w:pPr>
        <w:ind w:left="720" w:hanging="360"/>
      </w:pPr>
    </w:lvl>
    <w:lvl w:ilvl="1" w:tplc="E8EE9628">
      <w:start w:val="1"/>
      <w:numFmt w:val="bullet"/>
      <w:lvlText w:val="○"/>
      <w:lvlJc w:val="left"/>
      <w:pPr>
        <w:ind w:left="1440" w:hanging="360"/>
      </w:pPr>
    </w:lvl>
    <w:lvl w:ilvl="2" w:tplc="01C427A6">
      <w:start w:val="1"/>
      <w:numFmt w:val="bullet"/>
      <w:lvlText w:val="■"/>
      <w:lvlJc w:val="left"/>
      <w:pPr>
        <w:ind w:left="2160" w:hanging="360"/>
      </w:pPr>
    </w:lvl>
    <w:lvl w:ilvl="3" w:tplc="926E3470">
      <w:start w:val="1"/>
      <w:numFmt w:val="bullet"/>
      <w:lvlText w:val="●"/>
      <w:lvlJc w:val="left"/>
      <w:pPr>
        <w:ind w:left="2880" w:hanging="360"/>
      </w:pPr>
    </w:lvl>
    <w:lvl w:ilvl="4" w:tplc="14D8EEB4">
      <w:start w:val="1"/>
      <w:numFmt w:val="bullet"/>
      <w:lvlText w:val="○"/>
      <w:lvlJc w:val="left"/>
      <w:pPr>
        <w:ind w:left="3600" w:hanging="360"/>
      </w:pPr>
    </w:lvl>
    <w:lvl w:ilvl="5" w:tplc="383EFA84">
      <w:start w:val="1"/>
      <w:numFmt w:val="bullet"/>
      <w:lvlText w:val="■"/>
      <w:lvlJc w:val="left"/>
      <w:pPr>
        <w:ind w:left="4320" w:hanging="360"/>
      </w:pPr>
    </w:lvl>
    <w:lvl w:ilvl="6" w:tplc="56AA24DE">
      <w:start w:val="1"/>
      <w:numFmt w:val="bullet"/>
      <w:lvlText w:val="●"/>
      <w:lvlJc w:val="left"/>
      <w:pPr>
        <w:ind w:left="5040" w:hanging="360"/>
      </w:pPr>
    </w:lvl>
    <w:lvl w:ilvl="7" w:tplc="BCDCCDD4">
      <w:start w:val="1"/>
      <w:numFmt w:val="bullet"/>
      <w:lvlText w:val="●"/>
      <w:lvlJc w:val="left"/>
      <w:pPr>
        <w:ind w:left="5760" w:hanging="360"/>
      </w:pPr>
    </w:lvl>
    <w:lvl w:ilvl="8" w:tplc="FC86604A">
      <w:start w:val="1"/>
      <w:numFmt w:val="bullet"/>
      <w:lvlText w:val="●"/>
      <w:lvlJc w:val="left"/>
      <w:pPr>
        <w:ind w:left="6480" w:hanging="360"/>
      </w:pPr>
    </w:lvl>
  </w:abstractNum>
  <w:num w:numId="1" w16cid:durableId="18799692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895"/>
    <w:rsid w:val="00003D04"/>
    <w:rsid w:val="00006CA3"/>
    <w:rsid w:val="00015D22"/>
    <w:rsid w:val="00097818"/>
    <w:rsid w:val="001A66FB"/>
    <w:rsid w:val="00221D25"/>
    <w:rsid w:val="002C2A26"/>
    <w:rsid w:val="003109DC"/>
    <w:rsid w:val="003177EB"/>
    <w:rsid w:val="003521EA"/>
    <w:rsid w:val="00393757"/>
    <w:rsid w:val="00397A1F"/>
    <w:rsid w:val="00436C1F"/>
    <w:rsid w:val="004F13FB"/>
    <w:rsid w:val="0054492F"/>
    <w:rsid w:val="005E60FD"/>
    <w:rsid w:val="00603FDB"/>
    <w:rsid w:val="006151C4"/>
    <w:rsid w:val="00621805"/>
    <w:rsid w:val="00687AED"/>
    <w:rsid w:val="00693439"/>
    <w:rsid w:val="006F69B5"/>
    <w:rsid w:val="007466AE"/>
    <w:rsid w:val="00755AD0"/>
    <w:rsid w:val="00A42BFA"/>
    <w:rsid w:val="00AC3569"/>
    <w:rsid w:val="00B42C11"/>
    <w:rsid w:val="00BB0A0F"/>
    <w:rsid w:val="00C04676"/>
    <w:rsid w:val="00D33325"/>
    <w:rsid w:val="00D77F72"/>
    <w:rsid w:val="00DF10A7"/>
    <w:rsid w:val="00E10895"/>
    <w:rsid w:val="00EC5ADE"/>
    <w:rsid w:val="00F45702"/>
    <w:rsid w:val="00F7070C"/>
    <w:rsid w:val="00FC17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5EE0E7B"/>
  <w15:docId w15:val="{30E2535F-6B59-CD4B-ACA8-F20C25BF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60"/>
      <w:jc w:val="center"/>
      <w:outlineLvl w:val="0"/>
    </w:pPr>
    <w:rPr>
      <w:b/>
      <w:bCs/>
      <w:sz w:val="28"/>
      <w:szCs w:val="28"/>
    </w:rPr>
  </w:style>
  <w:style w:type="paragraph" w:styleId="Heading2">
    <w:name w:val="heading 2"/>
    <w:uiPriority w:val="9"/>
    <w:unhideWhenUsed/>
    <w:qFormat/>
    <w:pPr>
      <w:spacing w:before="200" w:after="120"/>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ABHINAV EKKA</cp:lastModifiedBy>
  <cp:revision>3</cp:revision>
  <dcterms:created xsi:type="dcterms:W3CDTF">2026-05-17T11:59:00Z</dcterms:created>
  <dcterms:modified xsi:type="dcterms:W3CDTF">2026-05-17T12:00:00Z</dcterms:modified>
</cp:coreProperties>
</file>